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lang w:val="en-US" w:eastAsia="zh-CN"/>
          <w14:textFill>
            <w14:solidFill>
              <w14:schemeClr w14:val="tx1"/>
            </w14:solidFill>
          </w14:textFill>
        </w:rPr>
        <w:t>赣县区</w:t>
      </w:r>
      <w:r>
        <w:rPr>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t>城市社区管理委员会2021年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t>政府信息公开工作年度报告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依据《中华人民共和国政府信息公开条例》和《国务院办公厅政府信息与政务公开办公室关于政府信息公开工作年度报告有关事项的通知》要求，编制本报告。本年度报告中所列数据的统计期限自2021年1月1日起至2021年12月31日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2021年</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城市社区管委会</w:t>
      </w:r>
      <w:r>
        <w:rPr>
          <w:rFonts w:hint="eastAsia" w:ascii="仿宋_GB2312" w:hAnsi="仿宋_GB2312" w:eastAsia="仿宋_GB2312" w:cs="仿宋_GB2312"/>
          <w:i w:val="0"/>
          <w:iCs w:val="0"/>
          <w:caps w:val="0"/>
          <w:color w:val="auto"/>
          <w:spacing w:val="0"/>
          <w:sz w:val="32"/>
          <w:szCs w:val="32"/>
          <w:shd w:val="clear" w:fill="FFFFFF"/>
        </w:rPr>
        <w:t>坚持以习近平新时代中国特色社会主义思想为指导，深入贯彻党的十九大和十九届二中、三中、四中、五中、六中全会精神，在区委、区政府的正确领导下，按照区政府信息公开工作的要求，深入贯彻落实《中华人民共和国政府信息公开条例》和《2021年赣县区政务公开工作要点》等有关文件规定，不断拓宽信息公开渠道，增强信息公开实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楷体_GB2312" w:hAnsi="楷体_GB2312" w:eastAsia="楷体_GB2312" w:cs="楷体_GB2312"/>
          <w:b/>
          <w:bCs/>
          <w:i w:val="0"/>
          <w:iCs w:val="0"/>
          <w:caps w:val="0"/>
          <w:color w:val="auto"/>
          <w:spacing w:val="0"/>
          <w:sz w:val="32"/>
          <w:szCs w:val="32"/>
          <w:shd w:val="clear" w:fill="FFFFFF"/>
        </w:rPr>
      </w:pPr>
      <w:r>
        <w:rPr>
          <w:rFonts w:hint="eastAsia" w:ascii="楷体_GB2312" w:hAnsi="楷体_GB2312" w:eastAsia="楷体_GB2312" w:cs="楷体_GB2312"/>
          <w:b/>
          <w:bCs/>
          <w:i w:val="0"/>
          <w:iCs w:val="0"/>
          <w:caps w:val="0"/>
          <w:color w:val="auto"/>
          <w:spacing w:val="0"/>
          <w:sz w:val="32"/>
          <w:szCs w:val="32"/>
          <w:shd w:val="clear" w:fill="FFFFFF"/>
        </w:rPr>
        <w:t>（一）主动公开情况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2021年，通过区政府门户网站</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微信公众号等渠道主动公开信息</w:t>
      </w:r>
      <w:r>
        <w:rPr>
          <w:rFonts w:hint="eastAsia" w:ascii="仿宋_GB2312" w:hAnsi="仿宋_GB2312" w:eastAsia="仿宋_GB2312" w:cs="仿宋_GB2312"/>
          <w:i w:val="0"/>
          <w:iCs w:val="0"/>
          <w:caps w:val="0"/>
          <w:color w:val="auto"/>
          <w:spacing w:val="0"/>
          <w:sz w:val="32"/>
          <w:szCs w:val="32"/>
          <w:shd w:val="clear" w:fill="FFFFFF"/>
          <w:lang w:val="en-US" w:eastAsia="zh-CN"/>
        </w:rPr>
        <w:t>494</w:t>
      </w:r>
      <w:r>
        <w:rPr>
          <w:rFonts w:hint="eastAsia" w:ascii="仿宋_GB2312" w:hAnsi="仿宋_GB2312" w:eastAsia="仿宋_GB2312" w:cs="仿宋_GB2312"/>
          <w:i w:val="0"/>
          <w:iCs w:val="0"/>
          <w:caps w:val="0"/>
          <w:color w:val="auto"/>
          <w:spacing w:val="0"/>
          <w:sz w:val="32"/>
          <w:szCs w:val="32"/>
          <w:shd w:val="clear" w:fill="FFFFFF"/>
        </w:rPr>
        <w:t>条。其中，工作动态发布</w:t>
      </w:r>
      <w:r>
        <w:rPr>
          <w:rFonts w:hint="eastAsia" w:ascii="仿宋_GB2312" w:hAnsi="仿宋_GB2312" w:eastAsia="仿宋_GB2312" w:cs="仿宋_GB2312"/>
          <w:i w:val="0"/>
          <w:iCs w:val="0"/>
          <w:caps w:val="0"/>
          <w:color w:val="auto"/>
          <w:spacing w:val="0"/>
          <w:sz w:val="32"/>
          <w:szCs w:val="32"/>
          <w:shd w:val="clear" w:fill="FFFFFF"/>
          <w:lang w:val="en-US" w:eastAsia="zh-CN"/>
        </w:rPr>
        <w:t>98</w:t>
      </w:r>
      <w:r>
        <w:rPr>
          <w:rFonts w:hint="eastAsia" w:ascii="仿宋_GB2312" w:hAnsi="仿宋_GB2312" w:eastAsia="仿宋_GB2312" w:cs="仿宋_GB2312"/>
          <w:i w:val="0"/>
          <w:iCs w:val="0"/>
          <w:caps w:val="0"/>
          <w:color w:val="auto"/>
          <w:spacing w:val="0"/>
          <w:sz w:val="32"/>
          <w:szCs w:val="32"/>
          <w:shd w:val="clear" w:fill="FFFFFF"/>
        </w:rPr>
        <w:t>条，公开财经信息0条，概况信息1条，人事信息0条，发布政策文件6条，计划总结2条</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赣州市赣县区城市社区管理委员会</w:t>
      </w:r>
      <w:r>
        <w:rPr>
          <w:rFonts w:hint="eastAsia" w:ascii="仿宋_GB2312" w:hAnsi="仿宋_GB2312" w:eastAsia="仿宋_GB2312" w:cs="仿宋_GB2312"/>
          <w:i w:val="0"/>
          <w:iCs w:val="0"/>
          <w:caps w:val="0"/>
          <w:color w:val="auto"/>
          <w:spacing w:val="0"/>
          <w:sz w:val="32"/>
          <w:szCs w:val="32"/>
          <w:shd w:val="clear" w:fill="FFFFFF"/>
        </w:rPr>
        <w:t>微信公众号</w:t>
      </w:r>
      <w:r>
        <w:rPr>
          <w:rFonts w:hint="eastAsia" w:ascii="仿宋_GB2312" w:hAnsi="仿宋_GB2312" w:eastAsia="仿宋_GB2312" w:cs="仿宋_GB2312"/>
          <w:i w:val="0"/>
          <w:iCs w:val="0"/>
          <w:caps w:val="0"/>
          <w:color w:val="auto"/>
          <w:spacing w:val="0"/>
          <w:sz w:val="32"/>
          <w:szCs w:val="32"/>
          <w:shd w:val="clear" w:fill="FFFFFF"/>
          <w:lang w:val="en-US" w:eastAsia="zh-CN"/>
        </w:rPr>
        <w:t>388</w:t>
      </w:r>
      <w:r>
        <w:rPr>
          <w:rFonts w:hint="eastAsia" w:ascii="仿宋_GB2312" w:hAnsi="仿宋_GB2312" w:eastAsia="仿宋_GB2312" w:cs="仿宋_GB2312"/>
          <w:i w:val="0"/>
          <w:iCs w:val="0"/>
          <w:caps w:val="0"/>
          <w:color w:val="auto"/>
          <w:spacing w:val="0"/>
          <w:sz w:val="32"/>
          <w:szCs w:val="32"/>
          <w:shd w:val="clear" w:fill="FFFFFF"/>
        </w:rPr>
        <w:t>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640" w:leftChars="0" w:right="0" w:rightChars="0"/>
        <w:jc w:val="both"/>
        <w:textAlignment w:val="auto"/>
        <w:rPr>
          <w:rFonts w:hint="eastAsia" w:ascii="楷体_GB2312" w:hAnsi="楷体_GB2312" w:eastAsia="楷体_GB2312" w:cs="楷体_GB2312"/>
          <w:b/>
          <w:bCs/>
          <w:i w:val="0"/>
          <w:iCs w:val="0"/>
          <w:caps w:val="0"/>
          <w:color w:val="auto"/>
          <w:spacing w:val="0"/>
          <w:sz w:val="32"/>
          <w:szCs w:val="32"/>
          <w:shd w:val="clear" w:fill="FFFFFF"/>
        </w:rPr>
      </w:pPr>
      <w:r>
        <w:rPr>
          <w:rFonts w:hint="eastAsia" w:ascii="楷体_GB2312" w:hAnsi="楷体_GB2312" w:eastAsia="楷体_GB2312" w:cs="楷体_GB2312"/>
          <w:b/>
          <w:bCs/>
          <w:i w:val="0"/>
          <w:iCs w:val="0"/>
          <w:caps w:val="0"/>
          <w:color w:val="auto"/>
          <w:spacing w:val="0"/>
          <w:sz w:val="32"/>
          <w:szCs w:val="32"/>
          <w:shd w:val="clear" w:fill="FFFFFF"/>
          <w:lang w:eastAsia="zh-CN"/>
        </w:rPr>
        <w:t>（</w:t>
      </w:r>
      <w:r>
        <w:rPr>
          <w:rFonts w:hint="eastAsia" w:ascii="楷体_GB2312" w:hAnsi="楷体_GB2312" w:eastAsia="楷体_GB2312" w:cs="楷体_GB2312"/>
          <w:b/>
          <w:bCs/>
          <w:i w:val="0"/>
          <w:iCs w:val="0"/>
          <w:caps w:val="0"/>
          <w:color w:val="auto"/>
          <w:spacing w:val="0"/>
          <w:sz w:val="32"/>
          <w:szCs w:val="32"/>
          <w:shd w:val="clear" w:fill="FFFFFF"/>
          <w:lang w:val="en-US" w:eastAsia="zh-CN"/>
        </w:rPr>
        <w:t>二</w:t>
      </w:r>
      <w:r>
        <w:rPr>
          <w:rFonts w:hint="eastAsia" w:ascii="楷体_GB2312" w:hAnsi="楷体_GB2312" w:eastAsia="楷体_GB2312" w:cs="楷体_GB2312"/>
          <w:b/>
          <w:bCs/>
          <w:i w:val="0"/>
          <w:iCs w:val="0"/>
          <w:caps w:val="0"/>
          <w:color w:val="auto"/>
          <w:spacing w:val="0"/>
          <w:sz w:val="32"/>
          <w:szCs w:val="32"/>
          <w:shd w:val="clear" w:fill="FFFFFF"/>
          <w:lang w:eastAsia="zh-CN"/>
        </w:rPr>
        <w:t>）</w:t>
      </w:r>
      <w:r>
        <w:rPr>
          <w:rFonts w:hint="eastAsia" w:ascii="楷体_GB2312" w:hAnsi="楷体_GB2312" w:eastAsia="楷体_GB2312" w:cs="楷体_GB2312"/>
          <w:b/>
          <w:bCs/>
          <w:i w:val="0"/>
          <w:iCs w:val="0"/>
          <w:caps w:val="0"/>
          <w:color w:val="auto"/>
          <w:spacing w:val="0"/>
          <w:sz w:val="32"/>
          <w:szCs w:val="32"/>
          <w:shd w:val="clear" w:fill="FFFFFF"/>
        </w:rPr>
        <w:t>依申请公开情况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638" w:leftChars="304" w:right="0" w:firstLine="0" w:firstLineChars="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rPr>
        <w:t>2021年我</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单位</w:t>
      </w:r>
      <w:r>
        <w:rPr>
          <w:rFonts w:hint="eastAsia" w:ascii="仿宋_GB2312" w:hAnsi="仿宋_GB2312" w:eastAsia="仿宋_GB2312" w:cs="仿宋_GB2312"/>
          <w:b w:val="0"/>
          <w:bCs w:val="0"/>
          <w:i w:val="0"/>
          <w:iCs w:val="0"/>
          <w:caps w:val="0"/>
          <w:color w:val="auto"/>
          <w:spacing w:val="0"/>
          <w:sz w:val="32"/>
          <w:szCs w:val="32"/>
          <w:shd w:val="clear" w:fill="FFFFFF"/>
        </w:rPr>
        <w:t>没有收到政府信息公开申请。</w:t>
      </w:r>
      <w:r>
        <w:rPr>
          <w:rFonts w:hint="eastAsia" w:ascii="仿宋_GB2312" w:hAnsi="仿宋_GB2312" w:eastAsia="仿宋_GB2312" w:cs="仿宋_GB2312"/>
          <w:b w:val="0"/>
          <w:bCs w:val="0"/>
          <w:i w:val="0"/>
          <w:iCs w:val="0"/>
          <w:caps w:val="0"/>
          <w:color w:val="auto"/>
          <w:spacing w:val="0"/>
          <w:sz w:val="32"/>
          <w:szCs w:val="32"/>
          <w:shd w:val="clear" w:fill="FFFFFF"/>
        </w:rPr>
        <w:br w:type="textWrapping"/>
      </w:r>
      <w:r>
        <w:rPr>
          <w:rFonts w:hint="eastAsia" w:ascii="楷体_GB2312" w:hAnsi="楷体_GB2312" w:eastAsia="楷体_GB2312" w:cs="楷体_GB2312"/>
          <w:b/>
          <w:bCs/>
          <w:i w:val="0"/>
          <w:iCs w:val="0"/>
          <w:caps w:val="0"/>
          <w:color w:val="auto"/>
          <w:spacing w:val="0"/>
          <w:sz w:val="32"/>
          <w:szCs w:val="32"/>
          <w:shd w:val="clear" w:fill="FFFFFF"/>
        </w:rPr>
        <w:t>（三）平台建设情况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rPr>
        <w:t>2021年，</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城市社区管委会</w:t>
      </w:r>
      <w:r>
        <w:rPr>
          <w:rFonts w:hint="eastAsia" w:ascii="仿宋_GB2312" w:hAnsi="仿宋_GB2312" w:eastAsia="仿宋_GB2312" w:cs="仿宋_GB2312"/>
          <w:b w:val="0"/>
          <w:bCs w:val="0"/>
          <w:i w:val="0"/>
          <w:iCs w:val="0"/>
          <w:caps w:val="0"/>
          <w:color w:val="auto"/>
          <w:spacing w:val="0"/>
          <w:sz w:val="32"/>
          <w:szCs w:val="32"/>
          <w:shd w:val="clear" w:fill="FFFFFF"/>
        </w:rPr>
        <w:t>按照《条例》规定的主动公开信息范围，以“</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赣县区</w:t>
      </w:r>
      <w:r>
        <w:rPr>
          <w:rFonts w:hint="eastAsia" w:ascii="仿宋_GB2312" w:hAnsi="仿宋_GB2312" w:eastAsia="仿宋_GB2312" w:cs="仿宋_GB2312"/>
          <w:b w:val="0"/>
          <w:bCs w:val="0"/>
          <w:i w:val="0"/>
          <w:iCs w:val="0"/>
          <w:caps w:val="0"/>
          <w:color w:val="auto"/>
          <w:spacing w:val="0"/>
          <w:sz w:val="32"/>
          <w:szCs w:val="32"/>
          <w:shd w:val="clear" w:fill="FFFFFF"/>
        </w:rPr>
        <w:t>人民政府”门户网站为核心，加强政府网站内容建设和信息发布审核。为方便公众了解政府信息，我</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单位</w:t>
      </w:r>
      <w:r>
        <w:rPr>
          <w:rFonts w:hint="eastAsia" w:ascii="仿宋_GB2312" w:hAnsi="仿宋_GB2312" w:eastAsia="仿宋_GB2312" w:cs="仿宋_GB2312"/>
          <w:b w:val="0"/>
          <w:bCs w:val="0"/>
          <w:i w:val="0"/>
          <w:iCs w:val="0"/>
          <w:caps w:val="0"/>
          <w:color w:val="auto"/>
          <w:spacing w:val="0"/>
          <w:sz w:val="32"/>
          <w:szCs w:val="32"/>
          <w:shd w:val="clear" w:fill="FFFFFF"/>
        </w:rPr>
        <w:t>主动公开工作动态、政府文件、财政预决算等信息，</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并成立赣州市赣县区城市社区管理委员会微信公众号，</w:t>
      </w:r>
      <w:r>
        <w:rPr>
          <w:rFonts w:hint="eastAsia" w:ascii="仿宋_GB2312" w:hAnsi="仿宋_GB2312" w:eastAsia="仿宋_GB2312" w:cs="仿宋_GB2312"/>
          <w:b w:val="0"/>
          <w:bCs w:val="0"/>
          <w:i w:val="0"/>
          <w:iCs w:val="0"/>
          <w:caps w:val="0"/>
          <w:color w:val="auto"/>
          <w:spacing w:val="0"/>
          <w:sz w:val="32"/>
          <w:szCs w:val="32"/>
          <w:shd w:val="clear" w:fill="FFFFFF"/>
        </w:rPr>
        <w:t>坚持把群众普遍关心、涉及人民群众切身利益的事项作为政府信息公开的重点，不断强化业务水平和服务意识，努力把平台打造成通向群众的“最后一公里”。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楷体_GB2312" w:hAnsi="楷体_GB2312" w:eastAsia="楷体_GB2312" w:cs="楷体_GB2312"/>
          <w:b/>
          <w:bCs/>
          <w:i w:val="0"/>
          <w:iCs w:val="0"/>
          <w:caps w:val="0"/>
          <w:color w:val="auto"/>
          <w:spacing w:val="0"/>
          <w:sz w:val="32"/>
          <w:szCs w:val="32"/>
          <w:shd w:val="clear" w:fill="FFFFFF"/>
        </w:rPr>
        <w:t>（四）监督保障情况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为进一步做好政务公开工作，切实推进政府信息公开，我单位按照《中华人民共和国政府信息公开条例》规定，严格监督政务公开工作。按照上级有关规定，根据实际情况制定和完善政府信息公开工作制度、考核制度，对信息公开工作进行严格的检查和考核，形成“工作有部署、实施有检查、定期有通报、年终有考核、违规违纪有责任追究”的工作机制，确保政府信息公开工作扎实有序推进。</w:t>
      </w: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br w:type="textWrapping"/>
      </w: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二、主动公开政府信息情况</w:t>
      </w:r>
    </w:p>
    <w:tbl>
      <w:tblPr>
        <w:tblStyle w:val="6"/>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default" w:ascii="Times New Roman" w:hAnsi="Times New Roman" w:eastAsia="宋体" w:cs="Times New Roman"/>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default" w:ascii="Times New Roman" w:hAnsi="Times New Roman" w:eastAsia="宋体" w:cs="Times New Roman"/>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default" w:ascii="Times New Roman" w:hAnsi="Times New Roman" w:eastAsia="宋体" w:cs="Times New Roman"/>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default" w:ascii="Times New Roman" w:hAnsi="Times New Roman" w:eastAsia="宋体" w:cs="Times New Roman"/>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default" w:ascii="Times New Roman" w:hAnsi="Times New Roman" w:eastAsia="宋体" w:cs="Times New Roman"/>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default" w:ascii="Times New Roman" w:hAnsi="Times New Roman" w:eastAsia="宋体" w:cs="Times New Roman"/>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default" w:ascii="Times New Roman" w:hAnsi="Times New Roman" w:eastAsia="宋体" w:cs="Times New Roman"/>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4"/>
                <w:szCs w:val="24"/>
                <w:lang w:val="en-US" w:eastAsia="zh-CN" w:bidi="ar"/>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9"/>
        <w:gridCol w:w="943"/>
        <w:gridCol w:w="3220"/>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32"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3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sz w:val="24"/>
                <w:szCs w:val="24"/>
              </w:rPr>
            </w:pPr>
          </w:p>
        </w:tc>
        <w:tc>
          <w:tcPr>
            <w:tcW w:w="688"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3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sz w:val="24"/>
                <w:szCs w:val="24"/>
              </w:rPr>
            </w:pPr>
          </w:p>
        </w:tc>
        <w:tc>
          <w:tcPr>
            <w:tcW w:w="68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68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9" w:hRule="atLeast"/>
          <w:jc w:val="center"/>
        </w:trPr>
        <w:tc>
          <w:tcPr>
            <w:tcW w:w="4932"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4" w:hRule="atLeast"/>
          <w:jc w:val="center"/>
        </w:trPr>
        <w:tc>
          <w:tcPr>
            <w:tcW w:w="4932"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4163"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943"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322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322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322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三、本年度办理结果</w:t>
            </w:r>
          </w:p>
        </w:tc>
        <w:tc>
          <w:tcPr>
            <w:tcW w:w="943"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322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322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属于行政执法案卷</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3220"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943"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322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3220"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943"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3220"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322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322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79"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322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943"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322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3220"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sz w:val="24"/>
                <w:szCs w:val="24"/>
              </w:rPr>
            </w:pPr>
          </w:p>
        </w:tc>
        <w:tc>
          <w:tcPr>
            <w:tcW w:w="4163" w:type="dxa"/>
            <w:gridSpan w:val="2"/>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8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right="0"/>
        <w:jc w:val="both"/>
        <w:rPr>
          <w:rFonts w:hint="eastAsia" w:ascii="黑体" w:hAnsi="黑体" w:eastAsia="黑体" w:cs="黑体"/>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行政复议</w:t>
            </w:r>
          </w:p>
        </w:tc>
        <w:tc>
          <w:tcPr>
            <w:tcW w:w="649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5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结果维持</w:t>
            </w:r>
          </w:p>
        </w:tc>
        <w:tc>
          <w:tcPr>
            <w:tcW w:w="65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未经复议直接起诉</w:t>
            </w:r>
          </w:p>
        </w:tc>
        <w:tc>
          <w:tcPr>
            <w:tcW w:w="325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sz w:val="24"/>
                <w:szCs w:val="24"/>
              </w:rPr>
            </w:pPr>
          </w:p>
        </w:tc>
        <w:tc>
          <w:tcPr>
            <w:tcW w:w="65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sz w:val="24"/>
                <w:szCs w:val="24"/>
              </w:rPr>
            </w:pPr>
          </w:p>
        </w:tc>
        <w:tc>
          <w:tcPr>
            <w:tcW w:w="65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sz w:val="24"/>
                <w:szCs w:val="24"/>
              </w:rPr>
            </w:pPr>
          </w:p>
        </w:tc>
        <w:tc>
          <w:tcPr>
            <w:tcW w:w="65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sz w:val="24"/>
                <w:szCs w:val="24"/>
              </w:rPr>
            </w:pPr>
          </w:p>
        </w:tc>
        <w:tc>
          <w:tcPr>
            <w:tcW w:w="65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sz w:val="24"/>
                <w:szCs w:val="24"/>
              </w:rPr>
            </w:pP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总计</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rFonts w:hint="default" w:ascii="Times New Roman" w:hAnsi="Times New Roman" w:eastAsia="宋体" w:cs="Times New Roman"/>
                <w:kern w:val="0"/>
                <w:sz w:val="28"/>
                <w:szCs w:val="28"/>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left"/>
            </w:pPr>
            <w:r>
              <w:rPr>
                <w:rFonts w:hint="eastAsia" w:ascii="宋体" w:hAnsi="宋体" w:eastAsia="宋体" w:cs="宋体"/>
                <w:kern w:val="0"/>
                <w:sz w:val="24"/>
                <w:szCs w:val="24"/>
                <w:lang w:val="en-US" w:eastAsia="zh-CN" w:bidi="ar"/>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五、存在的主要问题及改进情况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rPr>
        <w:t>一年来，城市社区管理委员会信息公开工作在群众知晓率、参与度方面取得了一定的成绩，但主动及时公开信息的内容、形式、渠道与公众需求还有一定的差距，主要是信息公开渠道较为单一，信息公开的流程和制度有待进一步完善。结合工作中存在问题和不足，我单位在今后的信息公开工作将从以下个方面进一步改进</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ascii="楷体_GB2312" w:hAnsi="微软雅黑" w:eastAsia="楷体_GB2312" w:cs="楷体_GB2312"/>
          <w:b/>
          <w:bCs/>
          <w:i w:val="0"/>
          <w:iCs w:val="0"/>
          <w:caps w:val="0"/>
          <w:color w:val="auto"/>
          <w:spacing w:val="0"/>
          <w:sz w:val="32"/>
          <w:szCs w:val="32"/>
          <w:shd w:val="clear" w:fill="FFFFFF"/>
        </w:rPr>
        <w:t>1.</w:t>
      </w:r>
      <w:r>
        <w:rPr>
          <w:rFonts w:hint="eastAsia" w:ascii="楷体_GB2312" w:hAnsi="微软雅黑" w:eastAsia="楷体_GB2312" w:cs="楷体_GB2312"/>
          <w:b/>
          <w:bCs/>
          <w:i w:val="0"/>
          <w:iCs w:val="0"/>
          <w:caps w:val="0"/>
          <w:color w:val="auto"/>
          <w:spacing w:val="0"/>
          <w:sz w:val="32"/>
          <w:szCs w:val="32"/>
          <w:shd w:val="clear" w:fill="FFFFFF"/>
        </w:rPr>
        <w:t>建立健全信息公开机制。</w:t>
      </w:r>
      <w:r>
        <w:rPr>
          <w:rFonts w:hint="eastAsia" w:ascii="仿宋_GB2312" w:hAnsi="仿宋_GB2312" w:eastAsia="仿宋_GB2312" w:cs="仿宋_GB2312"/>
          <w:i w:val="0"/>
          <w:iCs w:val="0"/>
          <w:caps w:val="0"/>
          <w:color w:val="auto"/>
          <w:spacing w:val="0"/>
          <w:sz w:val="32"/>
          <w:szCs w:val="32"/>
          <w:shd w:val="clear" w:fill="FFFFFF"/>
        </w:rPr>
        <w:t>进一步建立健全政府信息公开工作考核制度、社会评议制度和责任追究制度，定期对政府信息公开工作进行考核、评议，广纳群众意见建议，完善公开机制。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楷体_GB2312" w:hAnsi="微软雅黑" w:eastAsia="楷体_GB2312" w:cs="楷体_GB2312"/>
          <w:b/>
          <w:bCs/>
          <w:i w:val="0"/>
          <w:iCs w:val="0"/>
          <w:caps w:val="0"/>
          <w:color w:val="auto"/>
          <w:spacing w:val="0"/>
          <w:sz w:val="32"/>
          <w:szCs w:val="32"/>
          <w:shd w:val="clear" w:fill="FFFFFF"/>
        </w:rPr>
        <w:t>2.创新信息公开渠道。</w:t>
      </w:r>
      <w:r>
        <w:rPr>
          <w:rFonts w:hint="eastAsia" w:ascii="仿宋_GB2312" w:hAnsi="仿宋_GB2312" w:eastAsia="仿宋_GB2312" w:cs="仿宋_GB2312"/>
          <w:i w:val="0"/>
          <w:iCs w:val="0"/>
          <w:caps w:val="0"/>
          <w:color w:val="auto"/>
          <w:spacing w:val="0"/>
          <w:sz w:val="32"/>
          <w:szCs w:val="32"/>
          <w:shd w:val="clear" w:fill="FFFFFF"/>
        </w:rPr>
        <w:t>在利用好区政府官方网站这一信息主渠道的同时，探索综合利用报刊、广播、电视、手机信息、微信公众号、微博等便于公众知晓的方式公开政府信息。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六、其他需要报告的事项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2"/>
          <w:szCs w:val="32"/>
          <w:shd w:val="clear" w:fill="FFFFFF"/>
        </w:rPr>
        <w:t>本年度报告的电子版可以从赣县区人民政府网站（http://www.ganxian.gov.cn/gxqxxgk/cssq/xxgk_bmtt.shtml）下载。如对本报告有任何疑问，请与赣县区</w:t>
      </w:r>
      <w:r>
        <w:rPr>
          <w:rFonts w:hint="eastAsia" w:ascii="仿宋_GB2312" w:hAnsi="仿宋_GB2312" w:eastAsia="仿宋_GB2312" w:cs="仿宋_GB2312"/>
          <w:i w:val="0"/>
          <w:iCs w:val="0"/>
          <w:caps w:val="0"/>
          <w:color w:val="auto"/>
          <w:spacing w:val="0"/>
          <w:sz w:val="32"/>
          <w:szCs w:val="32"/>
          <w:shd w:val="clear" w:fill="FFFFFF"/>
          <w:lang w:val="en-US" w:eastAsia="zh-CN"/>
        </w:rPr>
        <w:t>城市社区管理委员会</w:t>
      </w:r>
      <w:r>
        <w:rPr>
          <w:rFonts w:hint="eastAsia" w:ascii="仿宋_GB2312" w:hAnsi="仿宋_GB2312" w:eastAsia="仿宋_GB2312" w:cs="仿宋_GB2312"/>
          <w:i w:val="0"/>
          <w:iCs w:val="0"/>
          <w:caps w:val="0"/>
          <w:color w:val="auto"/>
          <w:spacing w:val="0"/>
          <w:sz w:val="32"/>
          <w:szCs w:val="32"/>
          <w:shd w:val="clear" w:fill="FFFFFF"/>
        </w:rPr>
        <w:t>联系（地址：江西省赣州市赣县区</w:t>
      </w:r>
      <w:r>
        <w:rPr>
          <w:rFonts w:hint="eastAsia" w:ascii="仿宋_GB2312" w:hAnsi="仿宋_GB2312" w:eastAsia="仿宋_GB2312" w:cs="仿宋_GB2312"/>
          <w:i w:val="0"/>
          <w:iCs w:val="0"/>
          <w:caps w:val="0"/>
          <w:color w:val="auto"/>
          <w:spacing w:val="0"/>
          <w:sz w:val="32"/>
          <w:szCs w:val="32"/>
          <w:shd w:val="clear" w:fill="FFFFFF"/>
          <w:lang w:val="en-US" w:eastAsia="zh-CN"/>
        </w:rPr>
        <w:t>梅林大街38号</w:t>
      </w:r>
      <w:r>
        <w:rPr>
          <w:rFonts w:hint="eastAsia" w:ascii="仿宋_GB2312" w:hAnsi="仿宋_GB2312" w:eastAsia="仿宋_GB2312" w:cs="仿宋_GB2312"/>
          <w:i w:val="0"/>
          <w:iCs w:val="0"/>
          <w:caps w:val="0"/>
          <w:color w:val="auto"/>
          <w:spacing w:val="0"/>
          <w:sz w:val="32"/>
          <w:szCs w:val="32"/>
          <w:shd w:val="clear" w:fill="FFFFFF"/>
        </w:rPr>
        <w:t>，电话：</w:t>
      </w:r>
      <w:r>
        <w:rPr>
          <w:rFonts w:hint="default" w:ascii="仿宋_GB2312" w:hAnsi="仿宋_GB2312" w:eastAsia="仿宋_GB2312" w:cs="仿宋_GB2312"/>
          <w:i w:val="0"/>
          <w:iCs w:val="0"/>
          <w:caps w:val="0"/>
          <w:color w:val="auto"/>
          <w:spacing w:val="0"/>
          <w:sz w:val="32"/>
          <w:szCs w:val="32"/>
          <w:shd w:val="clear" w:fill="FFFFFF"/>
        </w:rPr>
        <w:t>0797-444</w:t>
      </w:r>
      <w:r>
        <w:rPr>
          <w:rFonts w:hint="eastAsia" w:ascii="仿宋_GB2312" w:hAnsi="仿宋_GB2312" w:eastAsia="仿宋_GB2312" w:cs="仿宋_GB2312"/>
          <w:i w:val="0"/>
          <w:iCs w:val="0"/>
          <w:caps w:val="0"/>
          <w:color w:val="auto"/>
          <w:spacing w:val="0"/>
          <w:sz w:val="32"/>
          <w:szCs w:val="32"/>
          <w:shd w:val="clear" w:fill="FFFFFF"/>
          <w:lang w:val="en-US" w:eastAsia="zh-CN"/>
        </w:rPr>
        <w:t>8286</w:t>
      </w:r>
      <w:r>
        <w:rPr>
          <w:rFonts w:hint="eastAsia" w:ascii="仿宋_GB2312" w:hAnsi="仿宋_GB2312" w:eastAsia="仿宋_GB2312" w:cs="仿宋_GB2312"/>
          <w:i w:val="0"/>
          <w:iCs w:val="0"/>
          <w:caps w:val="0"/>
          <w:color w:val="auto"/>
          <w:spacing w:val="0"/>
          <w:sz w:val="32"/>
          <w:szCs w:val="32"/>
          <w:shd w:val="clear" w:fill="FFFFFF"/>
        </w:rPr>
        <w:t>，邮编：</w:t>
      </w:r>
      <w:r>
        <w:rPr>
          <w:rFonts w:hint="default" w:ascii="仿宋_GB2312" w:hAnsi="仿宋_GB2312" w:eastAsia="仿宋_GB2312" w:cs="仿宋_GB2312"/>
          <w:i w:val="0"/>
          <w:iCs w:val="0"/>
          <w:caps w:val="0"/>
          <w:color w:val="auto"/>
          <w:spacing w:val="0"/>
          <w:sz w:val="32"/>
          <w:szCs w:val="32"/>
          <w:shd w:val="clear" w:fill="FFFFFF"/>
        </w:rPr>
        <w:t>341</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default" w:ascii="仿宋_GB2312" w:hAnsi="仿宋_GB2312" w:eastAsia="仿宋_GB2312" w:cs="仿宋_GB2312"/>
          <w:i w:val="0"/>
          <w:iCs w:val="0"/>
          <w:caps w:val="0"/>
          <w:color w:val="auto"/>
          <w:spacing w:val="0"/>
          <w:sz w:val="32"/>
          <w:szCs w:val="32"/>
          <w:shd w:val="clear" w:fill="FFFFFF"/>
        </w:rPr>
        <w:t>00</w:t>
      </w:r>
      <w:r>
        <w:rPr>
          <w:rFonts w:hint="eastAsia" w:ascii="仿宋_GB2312" w:hAnsi="仿宋_GB2312" w:eastAsia="仿宋_GB2312" w:cs="仿宋_GB2312"/>
          <w:i w:val="0"/>
          <w:iCs w:val="0"/>
          <w:caps w:val="0"/>
          <w:color w:val="auto"/>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textAlignment w:val="auto"/>
        <w:rPr>
          <w:color w:val="auto"/>
        </w:rPr>
      </w:pPr>
    </w:p>
    <w:p>
      <w:pPr>
        <w:keepNext w:val="0"/>
        <w:keepLines w:val="0"/>
        <w:pageBreakBefore w:val="0"/>
        <w:shd w:val="clear"/>
        <w:kinsoku/>
        <w:wordWrap/>
        <w:overflowPunct/>
        <w:topLinePunct w:val="0"/>
        <w:autoSpaceDE/>
        <w:autoSpaceDN/>
        <w:bidi w:val="0"/>
        <w:adjustRightInd/>
        <w:snapToGrid/>
        <w:spacing w:line="560" w:lineRule="exact"/>
        <w:textAlignment w:val="auto"/>
        <w:rPr>
          <w:color w:val="auto"/>
        </w:rPr>
      </w:pPr>
    </w:p>
    <w:sectPr>
      <w:headerReference r:id="rId3" w:type="default"/>
      <w:footerReference r:id="rId4" w:type="default"/>
      <w:pgSz w:w="11906" w:h="16838"/>
      <w:pgMar w:top="2041" w:right="1531" w:bottom="2041" w:left="1531" w:header="851" w:footer="992" w:gutter="0"/>
      <w:pgBorders w:offsetFrom="page">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4FF52E4C-544D-4B94-9C61-0228C5FED87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895F5D2B-7D74-4605-A720-FDBDF099FEA1}"/>
  </w:font>
  <w:font w:name="仿宋_GB2312">
    <w:panose1 w:val="02010609030101010101"/>
    <w:charset w:val="86"/>
    <w:family w:val="auto"/>
    <w:pitch w:val="default"/>
    <w:sig w:usb0="00000001" w:usb1="080E0000" w:usb2="00000000" w:usb3="00000000" w:csb0="00040000" w:csb1="00000000"/>
    <w:embedRegular r:id="rId3" w:fontKey="{C1E41DC0-30BD-4323-93DB-B033B7EFC03F}"/>
  </w:font>
  <w:font w:name="楷体_GB2312">
    <w:panose1 w:val="02010609030101010101"/>
    <w:charset w:val="86"/>
    <w:family w:val="auto"/>
    <w:pitch w:val="default"/>
    <w:sig w:usb0="00000001" w:usb1="080E0000" w:usb2="00000000" w:usb3="00000000" w:csb0="00040000" w:csb1="00000000"/>
    <w:embedRegular r:id="rId4" w:fontKey="{030BC499-E71F-4A11-92CE-E113BD16CCBB}"/>
  </w:font>
  <w:font w:name="楷体">
    <w:panose1 w:val="02010609060101010101"/>
    <w:charset w:val="86"/>
    <w:family w:val="auto"/>
    <w:pitch w:val="default"/>
    <w:sig w:usb0="800002BF" w:usb1="38CF7CFA" w:usb2="00000016" w:usb3="00000000" w:csb0="00040001" w:csb1="00000000"/>
    <w:embedRegular r:id="rId5" w:fontKey="{9EE9368E-0983-40A6-80BB-13C4E749CAC2}"/>
  </w:font>
  <w:font w:name="微软雅黑">
    <w:panose1 w:val="020B0503020204020204"/>
    <w:charset w:val="86"/>
    <w:family w:val="auto"/>
    <w:pitch w:val="default"/>
    <w:sig w:usb0="80000287" w:usb1="2ACF3C50" w:usb2="00000016" w:usb3="00000000" w:csb0="0004001F" w:csb1="00000000"/>
    <w:embedRegular r:id="rId6" w:fontKey="{DF8B370F-C4DA-4D87-B7C6-744262A11E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171726"/>
    <w:multiLevelType w:val="singleLevel"/>
    <w:tmpl w:val="8C171726"/>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zMzVlOGU1N2IwODg3MTI0NGI1N2VkY2VhZGRlN2QifQ=="/>
  </w:docVars>
  <w:rsids>
    <w:rsidRoot w:val="11FD0631"/>
    <w:rsid w:val="082D058E"/>
    <w:rsid w:val="0A734A16"/>
    <w:rsid w:val="11FD0631"/>
    <w:rsid w:val="12B609B6"/>
    <w:rsid w:val="16437BDD"/>
    <w:rsid w:val="1BDC55CF"/>
    <w:rsid w:val="1E080C0C"/>
    <w:rsid w:val="22EA0002"/>
    <w:rsid w:val="26355556"/>
    <w:rsid w:val="31360FF7"/>
    <w:rsid w:val="327304B1"/>
    <w:rsid w:val="362A4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2024-01-12T07:27:00Z</dcterms:created>
  <dc:creator>笑呵呵</dc:creator>
  <cp:lastModifiedBy>WPS_1559700662</cp:lastModifiedBy>
  <dcterms:modified xsi:type="dcterms:W3CDTF">2024-01-16T07:24:30Z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1B094DA768DF4445B2D38309A3109586_11</vt:lpwstr>
  </property>
</Properties>
</file>