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19B" w:rsidRDefault="00432631">
      <w:pPr>
        <w:pStyle w:val="2"/>
        <w:widowControl/>
        <w:spacing w:beforeAutospacing="0" w:afterAutospacing="0" w:line="540" w:lineRule="atLeast"/>
        <w:jc w:val="center"/>
        <w:rPr>
          <w:rFonts w:ascii="微软雅黑" w:eastAsia="微软雅黑" w:hAnsi="微软雅黑" w:cs="微软雅黑" w:hint="default"/>
          <w:color w:val="666666"/>
          <w:shd w:val="clear" w:color="auto" w:fill="FFFFFF"/>
        </w:rPr>
      </w:pPr>
      <w:r>
        <w:rPr>
          <w:rFonts w:ascii="微软雅黑" w:eastAsia="微软雅黑" w:hAnsi="微软雅黑" w:cs="微软雅黑"/>
          <w:color w:val="666666"/>
          <w:shd w:val="clear" w:color="auto" w:fill="FFFFFF"/>
        </w:rPr>
        <w:t>赣州市</w:t>
      </w:r>
      <w:r w:rsidR="00811530">
        <w:rPr>
          <w:rFonts w:ascii="微软雅黑" w:eastAsia="微软雅黑" w:hAnsi="微软雅黑" w:cs="微软雅黑"/>
          <w:color w:val="666666"/>
          <w:shd w:val="clear" w:color="auto" w:fill="FFFFFF"/>
        </w:rPr>
        <w:t>赣县区统计部门</w:t>
      </w:r>
      <w:r>
        <w:rPr>
          <w:rFonts w:ascii="微软雅黑" w:eastAsia="微软雅黑" w:hAnsi="微软雅黑" w:cs="微软雅黑"/>
          <w:color w:val="666666"/>
          <w:shd w:val="clear" w:color="auto" w:fill="FFFFFF"/>
        </w:rPr>
        <w:t>2020年部门预算</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黑体" w:eastAsia="黑体" w:hAnsi="宋体" w:cs="黑体"/>
          <w:color w:val="333333"/>
          <w:sz w:val="32"/>
          <w:szCs w:val="32"/>
          <w:shd w:val="clear" w:color="auto" w:fill="FFFFFF"/>
        </w:rPr>
        <w:t>第一部分 赣州市</w:t>
      </w:r>
      <w:r w:rsidR="00811530">
        <w:rPr>
          <w:rFonts w:ascii="黑体" w:eastAsia="黑体" w:hAnsi="宋体" w:cs="黑体" w:hint="eastAsia"/>
          <w:color w:val="333333"/>
          <w:sz w:val="32"/>
          <w:szCs w:val="32"/>
          <w:shd w:val="clear" w:color="auto" w:fill="FFFFFF"/>
        </w:rPr>
        <w:t>赣县区统计局</w:t>
      </w:r>
      <w:r>
        <w:rPr>
          <w:rFonts w:ascii="黑体" w:eastAsia="黑体" w:hAnsi="宋体" w:cs="黑体"/>
          <w:color w:val="333333"/>
          <w:sz w:val="32"/>
          <w:szCs w:val="32"/>
          <w:shd w:val="clear" w:color="auto" w:fill="FFFFFF"/>
        </w:rPr>
        <w:t>概况</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color w:val="333333"/>
          <w:sz w:val="32"/>
          <w:szCs w:val="32"/>
          <w:shd w:val="clear" w:color="auto" w:fill="FFFFFF"/>
        </w:rPr>
        <w:t>一、部门主要职责</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二、部门基本情况</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黑体" w:eastAsia="黑体" w:hAnsi="宋体" w:cs="黑体" w:hint="eastAsia"/>
          <w:color w:val="333333"/>
          <w:sz w:val="32"/>
          <w:szCs w:val="32"/>
          <w:shd w:val="clear" w:color="auto" w:fill="FFFFFF"/>
        </w:rPr>
        <w:t>第二部分 赣州市</w:t>
      </w:r>
      <w:r w:rsidR="00811530">
        <w:rPr>
          <w:rFonts w:ascii="黑体" w:eastAsia="黑体" w:hAnsi="宋体" w:cs="黑体" w:hint="eastAsia"/>
          <w:color w:val="333333"/>
          <w:sz w:val="32"/>
          <w:szCs w:val="32"/>
          <w:shd w:val="clear" w:color="auto" w:fill="FFFFFF"/>
        </w:rPr>
        <w:t>赣县区统计</w:t>
      </w:r>
      <w:r w:rsidR="00811530" w:rsidRPr="00811530">
        <w:rPr>
          <w:rFonts w:ascii="黑体" w:eastAsia="黑体" w:hAnsi="宋体" w:cs="黑体"/>
          <w:color w:val="333333"/>
          <w:sz w:val="32"/>
          <w:szCs w:val="32"/>
          <w:shd w:val="clear" w:color="auto" w:fill="FFFFFF"/>
        </w:rPr>
        <w:t>部门</w:t>
      </w:r>
      <w:r>
        <w:rPr>
          <w:rFonts w:ascii="黑体" w:eastAsia="黑体" w:hAnsi="宋体" w:cs="黑体" w:hint="eastAsia"/>
          <w:color w:val="333333"/>
          <w:sz w:val="32"/>
          <w:szCs w:val="32"/>
          <w:shd w:val="clear" w:color="auto" w:fill="FFFFFF"/>
        </w:rPr>
        <w:t>2020年部门预算情况说明</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一、2020年部门预算收支情况说明</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二、2020年“三公”经费预算情况说明</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黑体" w:eastAsia="黑体" w:hAnsi="宋体" w:cs="黑体" w:hint="eastAsia"/>
          <w:color w:val="333333"/>
          <w:sz w:val="32"/>
          <w:szCs w:val="32"/>
          <w:shd w:val="clear" w:color="auto" w:fill="FFFFFF"/>
        </w:rPr>
        <w:t>第三部分</w:t>
      </w:r>
      <w:r>
        <w:rPr>
          <w:rFonts w:ascii="黑体" w:eastAsia="黑体" w:hAnsi="宋体" w:cs="黑体" w:hint="eastAsia"/>
          <w:color w:val="333333"/>
          <w:sz w:val="32"/>
          <w:szCs w:val="32"/>
          <w:shd w:val="clear" w:color="auto" w:fill="FFFFFF"/>
        </w:rPr>
        <w:t>  </w:t>
      </w:r>
      <w:r>
        <w:rPr>
          <w:rFonts w:ascii="黑体" w:eastAsia="黑体" w:hAnsi="宋体" w:cs="黑体" w:hint="eastAsia"/>
          <w:color w:val="333333"/>
          <w:sz w:val="32"/>
          <w:szCs w:val="32"/>
          <w:shd w:val="clear" w:color="auto" w:fill="FFFFFF"/>
        </w:rPr>
        <w:t>赣州市</w:t>
      </w:r>
      <w:r w:rsidR="00811530">
        <w:rPr>
          <w:rFonts w:ascii="黑体" w:eastAsia="黑体" w:hAnsi="宋体" w:cs="黑体" w:hint="eastAsia"/>
          <w:color w:val="333333"/>
          <w:sz w:val="32"/>
          <w:szCs w:val="32"/>
          <w:shd w:val="clear" w:color="auto" w:fill="FFFFFF"/>
        </w:rPr>
        <w:t>赣县区统计</w:t>
      </w:r>
      <w:r w:rsidR="00811530" w:rsidRPr="00811530">
        <w:rPr>
          <w:rFonts w:ascii="黑体" w:eastAsia="黑体" w:hAnsi="宋体" w:cs="黑体"/>
          <w:color w:val="333333"/>
          <w:sz w:val="32"/>
          <w:szCs w:val="32"/>
          <w:shd w:val="clear" w:color="auto" w:fill="FFFFFF"/>
        </w:rPr>
        <w:t>部门</w:t>
      </w:r>
      <w:r>
        <w:rPr>
          <w:rFonts w:ascii="黑体" w:eastAsia="黑体" w:hAnsi="宋体" w:cs="黑体" w:hint="eastAsia"/>
          <w:color w:val="333333"/>
          <w:sz w:val="32"/>
          <w:szCs w:val="32"/>
          <w:shd w:val="clear" w:color="auto" w:fill="FFFFFF"/>
        </w:rPr>
        <w:t>2020年部门预算表</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一、收支预算总表</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二、部门收入总表</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三、部门支出总表</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四、财政拨款收支总表</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五、一般公共预算支出表</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六、一般公共预算基本支出表</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七、一般公共预算“三公”经费支出表</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八、政府性基金预算支出表</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九、项目绩效目标表</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黑体" w:eastAsia="黑体" w:hAnsi="宋体" w:cs="黑体" w:hint="eastAsia"/>
          <w:color w:val="333333"/>
          <w:sz w:val="32"/>
          <w:szCs w:val="32"/>
          <w:shd w:val="clear" w:color="auto" w:fill="FFFFFF"/>
        </w:rPr>
        <w:t>第四部分 名词解释</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黑体" w:eastAsia="黑体" w:hAnsi="宋体" w:cs="黑体" w:hint="eastAsia"/>
          <w:color w:val="333333"/>
          <w:sz w:val="32"/>
          <w:szCs w:val="32"/>
          <w:shd w:val="clear" w:color="auto" w:fill="FFFFFF"/>
        </w:rPr>
        <w:t> </w:t>
      </w:r>
    </w:p>
    <w:p w:rsidR="00811530" w:rsidRDefault="00811530">
      <w:pPr>
        <w:pStyle w:val="a5"/>
        <w:widowControl/>
        <w:shd w:val="clear" w:color="auto" w:fill="FFFFFF"/>
        <w:spacing w:beforeAutospacing="0" w:afterAutospacing="0" w:line="560" w:lineRule="atLeast"/>
        <w:jc w:val="center"/>
        <w:rPr>
          <w:rFonts w:ascii="宋体" w:hAnsi="宋体" w:cs="宋体"/>
          <w:color w:val="333333"/>
          <w:sz w:val="44"/>
          <w:szCs w:val="44"/>
          <w:shd w:val="clear" w:color="auto" w:fill="FFFFFF"/>
        </w:rPr>
      </w:pPr>
    </w:p>
    <w:p w:rsidR="00811530" w:rsidRDefault="00811530">
      <w:pPr>
        <w:pStyle w:val="a5"/>
        <w:widowControl/>
        <w:shd w:val="clear" w:color="auto" w:fill="FFFFFF"/>
        <w:spacing w:beforeAutospacing="0" w:afterAutospacing="0" w:line="560" w:lineRule="atLeast"/>
        <w:jc w:val="center"/>
        <w:rPr>
          <w:rFonts w:ascii="宋体" w:hAnsi="宋体" w:cs="宋体"/>
          <w:color w:val="333333"/>
          <w:sz w:val="44"/>
          <w:szCs w:val="44"/>
          <w:shd w:val="clear" w:color="auto" w:fill="FFFFFF"/>
        </w:rPr>
      </w:pPr>
    </w:p>
    <w:p w:rsidR="00F4219B" w:rsidRDefault="00432631">
      <w:pPr>
        <w:pStyle w:val="a5"/>
        <w:widowControl/>
        <w:shd w:val="clear" w:color="auto" w:fill="FFFFFF"/>
        <w:spacing w:beforeAutospacing="0" w:afterAutospacing="0" w:line="560" w:lineRule="atLeast"/>
        <w:jc w:val="center"/>
        <w:rPr>
          <w:rFonts w:ascii="Calibri" w:hAnsi="Calibri" w:cs="Calibri"/>
          <w:color w:val="333333"/>
          <w:sz w:val="21"/>
          <w:szCs w:val="21"/>
        </w:rPr>
      </w:pPr>
      <w:r>
        <w:rPr>
          <w:rFonts w:ascii="宋体" w:hAnsi="宋体" w:cs="宋体" w:hint="eastAsia"/>
          <w:color w:val="333333"/>
          <w:sz w:val="44"/>
          <w:szCs w:val="44"/>
          <w:shd w:val="clear" w:color="auto" w:fill="FFFFFF"/>
        </w:rPr>
        <w:t>第一部分 赣州市</w:t>
      </w:r>
      <w:r w:rsidR="00811530" w:rsidRPr="00811530">
        <w:rPr>
          <w:rFonts w:ascii="宋体" w:hAnsi="宋体" w:cs="宋体" w:hint="eastAsia"/>
          <w:color w:val="333333"/>
          <w:sz w:val="44"/>
          <w:szCs w:val="44"/>
          <w:shd w:val="clear" w:color="auto" w:fill="FFFFFF"/>
        </w:rPr>
        <w:t>赣县区统计</w:t>
      </w:r>
      <w:r w:rsidR="00811530">
        <w:rPr>
          <w:rFonts w:ascii="宋体" w:hAnsi="宋体" w:cs="宋体" w:hint="eastAsia"/>
          <w:color w:val="333333"/>
          <w:sz w:val="44"/>
          <w:szCs w:val="44"/>
          <w:shd w:val="clear" w:color="auto" w:fill="FFFFFF"/>
        </w:rPr>
        <w:t>部门</w:t>
      </w:r>
      <w:r>
        <w:rPr>
          <w:rFonts w:ascii="宋体" w:hAnsi="宋体" w:cs="宋体" w:hint="eastAsia"/>
          <w:color w:val="333333"/>
          <w:sz w:val="44"/>
          <w:szCs w:val="44"/>
          <w:shd w:val="clear" w:color="auto" w:fill="FFFFFF"/>
        </w:rPr>
        <w:t>概况</w:t>
      </w:r>
    </w:p>
    <w:p w:rsidR="00F4219B" w:rsidRDefault="00432631">
      <w:pPr>
        <w:pStyle w:val="a5"/>
        <w:widowControl/>
        <w:shd w:val="clear" w:color="auto" w:fill="FFFFFF"/>
        <w:spacing w:beforeAutospacing="0" w:afterAutospacing="0" w:line="560" w:lineRule="atLeast"/>
        <w:jc w:val="center"/>
        <w:rPr>
          <w:rFonts w:ascii="Calibri" w:hAnsi="Calibri" w:cs="Calibri"/>
          <w:color w:val="333333"/>
          <w:sz w:val="21"/>
          <w:szCs w:val="21"/>
        </w:rPr>
      </w:pPr>
      <w:r>
        <w:rPr>
          <w:rFonts w:ascii="宋体" w:hAnsi="宋体" w:cs="宋体" w:hint="eastAsia"/>
          <w:color w:val="333333"/>
          <w:sz w:val="44"/>
          <w:szCs w:val="44"/>
          <w:shd w:val="clear" w:color="auto" w:fill="FFFFFF"/>
        </w:rPr>
        <w:t> </w:t>
      </w:r>
    </w:p>
    <w:p w:rsidR="00F4219B" w:rsidRPr="00811530" w:rsidRDefault="00432631">
      <w:pPr>
        <w:pStyle w:val="a5"/>
        <w:widowControl/>
        <w:shd w:val="clear" w:color="auto" w:fill="FFFFFF"/>
        <w:spacing w:beforeAutospacing="0" w:afterAutospacing="0" w:line="560" w:lineRule="atLeast"/>
        <w:ind w:firstLine="640"/>
        <w:jc w:val="both"/>
        <w:rPr>
          <w:rFonts w:ascii="黑体" w:eastAsia="黑体" w:hAnsi="宋体" w:cs="黑体"/>
          <w:color w:val="333333"/>
          <w:sz w:val="32"/>
          <w:szCs w:val="32"/>
          <w:shd w:val="clear" w:color="auto" w:fill="FFFFFF"/>
        </w:rPr>
      </w:pPr>
      <w:r>
        <w:rPr>
          <w:rFonts w:ascii="黑体" w:eastAsia="黑体" w:hAnsi="宋体" w:cs="黑体" w:hint="eastAsia"/>
          <w:color w:val="333333"/>
          <w:sz w:val="32"/>
          <w:szCs w:val="32"/>
          <w:shd w:val="clear" w:color="auto" w:fill="FFFFFF"/>
        </w:rPr>
        <w:t>一、部门主要职责</w:t>
      </w:r>
    </w:p>
    <w:p w:rsidR="00811530" w:rsidRPr="00DA0D2B" w:rsidRDefault="00811530" w:rsidP="00811530">
      <w:pPr>
        <w:spacing w:line="600" w:lineRule="exact"/>
        <w:ind w:firstLineChars="200" w:firstLine="640"/>
        <w:rPr>
          <w:rFonts w:ascii="仿宋" w:eastAsia="仿宋" w:hAnsi="仿宋" w:cs="仿宋"/>
          <w:color w:val="333333"/>
          <w:kern w:val="0"/>
          <w:sz w:val="32"/>
          <w:szCs w:val="32"/>
          <w:shd w:val="clear" w:color="auto" w:fill="FFFFFF"/>
        </w:rPr>
      </w:pPr>
      <w:r w:rsidRPr="00DA0D2B">
        <w:rPr>
          <w:rFonts w:ascii="仿宋" w:eastAsia="仿宋" w:hAnsi="仿宋" w:cs="仿宋" w:hint="eastAsia"/>
          <w:color w:val="333333"/>
          <w:kern w:val="0"/>
          <w:sz w:val="32"/>
          <w:szCs w:val="32"/>
          <w:shd w:val="clear" w:color="auto" w:fill="FFFFFF"/>
        </w:rPr>
        <w:t>根据区政府印发的赣县区统计局“三定”方案的有关规定，赣县区统计局是主管全区统计工作的区人民政府工作部门，主要职责是：1、承担组织领导和协调全县统计工作；2、组织实施全区国民经济核算制度和投入产出调查；3、在区人民政府领导下，会同有关部门组织实施国务院统一布置的人口、经济、农业等重大国情国力普查；4、收集、汇总、整理和提供有关调查的统计数据，综合整理和提供全区性基本统计数据；5、统一核定、管理、公布全区性基本统计资料，定期发布全区国民经济和社会发展情况的统计信息；6、对国民经济和社会发展情况进行统计分析、统计预测和统计监督，向区委、区政府及有关部门提供统计信息和咨询建议；7、依法审批或者备案部门统计调查项目、地方统计调查项目；8、建立并管理全区统计信息自动化系统和统计数据库系统，组织指导各乡镇统计站的统计信息化系统建设。</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黑体" w:eastAsia="黑体" w:hAnsi="宋体" w:cs="黑体" w:hint="eastAsia"/>
          <w:color w:val="333333"/>
          <w:sz w:val="32"/>
          <w:szCs w:val="32"/>
          <w:shd w:val="clear" w:color="auto" w:fill="FFFFFF"/>
        </w:rPr>
        <w:t>二、部门基本情况</w:t>
      </w:r>
    </w:p>
    <w:p w:rsidR="00F4219B" w:rsidRPr="00811530" w:rsidRDefault="00432631" w:rsidP="00DA0D2B">
      <w:pPr>
        <w:widowControl/>
        <w:spacing w:line="338" w:lineRule="atLeast"/>
        <w:ind w:firstLineChars="200" w:firstLine="640"/>
        <w:jc w:val="left"/>
        <w:rPr>
          <w:rFonts w:ascii="Calibri" w:hAnsi="Calibri" w:cs="Calibri"/>
          <w:color w:val="333333"/>
          <w:szCs w:val="21"/>
        </w:rPr>
      </w:pPr>
      <w:r w:rsidRPr="00DA0D2B">
        <w:rPr>
          <w:rFonts w:ascii="仿宋" w:eastAsia="仿宋" w:hAnsi="仿宋" w:cs="仿宋" w:hint="eastAsia"/>
          <w:color w:val="333333"/>
          <w:kern w:val="0"/>
          <w:sz w:val="32"/>
          <w:szCs w:val="32"/>
          <w:shd w:val="clear" w:color="auto" w:fill="FFFFFF"/>
        </w:rPr>
        <w:t>本部门共有预算单位</w:t>
      </w:r>
      <w:r w:rsidR="00811530" w:rsidRPr="00DA0D2B">
        <w:rPr>
          <w:rFonts w:ascii="仿宋" w:eastAsia="仿宋" w:hAnsi="仿宋" w:cs="仿宋" w:hint="eastAsia"/>
          <w:color w:val="333333"/>
          <w:kern w:val="0"/>
          <w:sz w:val="32"/>
          <w:szCs w:val="32"/>
          <w:shd w:val="clear" w:color="auto" w:fill="FFFFFF"/>
        </w:rPr>
        <w:t>1</w:t>
      </w:r>
      <w:r w:rsidRPr="00DA0D2B">
        <w:rPr>
          <w:rFonts w:ascii="仿宋" w:eastAsia="仿宋" w:hAnsi="仿宋" w:cs="仿宋" w:hint="eastAsia"/>
          <w:color w:val="333333"/>
          <w:kern w:val="0"/>
          <w:sz w:val="32"/>
          <w:szCs w:val="32"/>
          <w:shd w:val="clear" w:color="auto" w:fill="FFFFFF"/>
        </w:rPr>
        <w:t xml:space="preserve">个。编制数 </w:t>
      </w:r>
      <w:r w:rsidR="00811530" w:rsidRPr="00DA0D2B">
        <w:rPr>
          <w:rFonts w:ascii="仿宋" w:eastAsia="仿宋" w:hAnsi="仿宋" w:cs="仿宋" w:hint="eastAsia"/>
          <w:color w:val="333333"/>
          <w:kern w:val="0"/>
          <w:sz w:val="32"/>
          <w:szCs w:val="32"/>
          <w:shd w:val="clear" w:color="auto" w:fill="FFFFFF"/>
        </w:rPr>
        <w:t>21</w:t>
      </w:r>
      <w:r w:rsidRPr="00DA0D2B">
        <w:rPr>
          <w:rFonts w:ascii="仿宋" w:eastAsia="仿宋" w:hAnsi="仿宋" w:cs="仿宋" w:hint="eastAsia"/>
          <w:color w:val="333333"/>
          <w:kern w:val="0"/>
          <w:sz w:val="32"/>
          <w:szCs w:val="32"/>
          <w:shd w:val="clear" w:color="auto" w:fill="FFFFFF"/>
        </w:rPr>
        <w:t xml:space="preserve">人，其中：行政编制 </w:t>
      </w:r>
      <w:r w:rsidR="00811530" w:rsidRPr="00DA0D2B">
        <w:rPr>
          <w:rFonts w:ascii="仿宋" w:eastAsia="仿宋" w:hAnsi="仿宋" w:cs="仿宋" w:hint="eastAsia"/>
          <w:color w:val="333333"/>
          <w:kern w:val="0"/>
          <w:sz w:val="32"/>
          <w:szCs w:val="32"/>
          <w:shd w:val="clear" w:color="auto" w:fill="FFFFFF"/>
        </w:rPr>
        <w:t>10</w:t>
      </w:r>
      <w:r w:rsidRPr="00DA0D2B">
        <w:rPr>
          <w:rFonts w:ascii="仿宋" w:eastAsia="仿宋" w:hAnsi="仿宋" w:cs="仿宋" w:hint="eastAsia"/>
          <w:color w:val="333333"/>
          <w:kern w:val="0"/>
          <w:sz w:val="32"/>
          <w:szCs w:val="32"/>
          <w:shd w:val="clear" w:color="auto" w:fill="FFFFFF"/>
        </w:rPr>
        <w:t>人、全部补助事业编制</w:t>
      </w:r>
      <w:r w:rsidR="00811530" w:rsidRPr="00DA0D2B">
        <w:rPr>
          <w:rFonts w:ascii="仿宋" w:eastAsia="仿宋" w:hAnsi="仿宋" w:cs="仿宋" w:hint="eastAsia"/>
          <w:color w:val="333333"/>
          <w:kern w:val="0"/>
          <w:sz w:val="32"/>
          <w:szCs w:val="32"/>
          <w:shd w:val="clear" w:color="auto" w:fill="FFFFFF"/>
        </w:rPr>
        <w:t>11</w:t>
      </w:r>
      <w:r w:rsidRPr="00DA0D2B">
        <w:rPr>
          <w:rFonts w:ascii="仿宋" w:eastAsia="仿宋" w:hAnsi="仿宋" w:cs="仿宋" w:hint="eastAsia"/>
          <w:color w:val="333333"/>
          <w:kern w:val="0"/>
          <w:sz w:val="32"/>
          <w:szCs w:val="32"/>
          <w:shd w:val="clear" w:color="auto" w:fill="FFFFFF"/>
        </w:rPr>
        <w:t>人；实有在职人数</w:t>
      </w:r>
      <w:r w:rsidR="00811530" w:rsidRPr="00DA0D2B">
        <w:rPr>
          <w:rFonts w:ascii="仿宋" w:eastAsia="仿宋" w:hAnsi="仿宋" w:cs="仿宋" w:hint="eastAsia"/>
          <w:color w:val="333333"/>
          <w:kern w:val="0"/>
          <w:sz w:val="32"/>
          <w:szCs w:val="32"/>
          <w:shd w:val="clear" w:color="auto" w:fill="FFFFFF"/>
        </w:rPr>
        <w:t>18</w:t>
      </w:r>
      <w:r w:rsidRPr="00DA0D2B">
        <w:rPr>
          <w:rFonts w:ascii="仿宋" w:eastAsia="仿宋" w:hAnsi="仿宋" w:cs="仿宋" w:hint="eastAsia"/>
          <w:color w:val="333333"/>
          <w:kern w:val="0"/>
          <w:sz w:val="32"/>
          <w:szCs w:val="32"/>
          <w:shd w:val="clear" w:color="auto" w:fill="FFFFFF"/>
        </w:rPr>
        <w:t>人，其中行政编制</w:t>
      </w:r>
      <w:r w:rsidR="00811530" w:rsidRPr="00DA0D2B">
        <w:rPr>
          <w:rFonts w:ascii="仿宋" w:eastAsia="仿宋" w:hAnsi="仿宋" w:cs="仿宋" w:hint="eastAsia"/>
          <w:color w:val="333333"/>
          <w:kern w:val="0"/>
          <w:sz w:val="32"/>
          <w:szCs w:val="32"/>
          <w:shd w:val="clear" w:color="auto" w:fill="FFFFFF"/>
        </w:rPr>
        <w:t>11</w:t>
      </w:r>
      <w:r w:rsidRPr="00DA0D2B">
        <w:rPr>
          <w:rFonts w:ascii="仿宋" w:eastAsia="仿宋" w:hAnsi="仿宋" w:cs="仿宋" w:hint="eastAsia"/>
          <w:color w:val="333333"/>
          <w:kern w:val="0"/>
          <w:sz w:val="32"/>
          <w:szCs w:val="32"/>
          <w:shd w:val="clear" w:color="auto" w:fill="FFFFFF"/>
        </w:rPr>
        <w:t>人、全部补助事业编制</w:t>
      </w:r>
      <w:r w:rsidR="00811530" w:rsidRPr="00DA0D2B">
        <w:rPr>
          <w:rFonts w:ascii="仿宋" w:eastAsia="仿宋" w:hAnsi="仿宋" w:cs="仿宋" w:hint="eastAsia"/>
          <w:color w:val="333333"/>
          <w:kern w:val="0"/>
          <w:sz w:val="32"/>
          <w:szCs w:val="32"/>
          <w:shd w:val="clear" w:color="auto" w:fill="FFFFFF"/>
        </w:rPr>
        <w:t>7</w:t>
      </w:r>
      <w:r w:rsidRPr="00DA0D2B">
        <w:rPr>
          <w:rFonts w:ascii="仿宋" w:eastAsia="仿宋" w:hAnsi="仿宋" w:cs="仿宋" w:hint="eastAsia"/>
          <w:color w:val="333333"/>
          <w:kern w:val="0"/>
          <w:sz w:val="32"/>
          <w:szCs w:val="32"/>
          <w:shd w:val="clear" w:color="auto" w:fill="FFFFFF"/>
        </w:rPr>
        <w:t>人、退休人员</w:t>
      </w:r>
      <w:r w:rsidR="00811530" w:rsidRPr="00DA0D2B">
        <w:rPr>
          <w:rFonts w:ascii="仿宋" w:eastAsia="仿宋" w:hAnsi="仿宋" w:cs="仿宋" w:hint="eastAsia"/>
          <w:color w:val="333333"/>
          <w:kern w:val="0"/>
          <w:sz w:val="32"/>
          <w:szCs w:val="32"/>
          <w:shd w:val="clear" w:color="auto" w:fill="FFFFFF"/>
        </w:rPr>
        <w:t>6</w:t>
      </w:r>
      <w:r w:rsidRPr="00DA0D2B">
        <w:rPr>
          <w:rFonts w:ascii="仿宋" w:eastAsia="仿宋" w:hAnsi="仿宋" w:cs="仿宋" w:hint="eastAsia"/>
          <w:color w:val="333333"/>
          <w:kern w:val="0"/>
          <w:sz w:val="32"/>
          <w:szCs w:val="32"/>
          <w:shd w:val="clear" w:color="auto" w:fill="FFFFFF"/>
        </w:rPr>
        <w:t>人。</w:t>
      </w:r>
    </w:p>
    <w:p w:rsidR="00811530" w:rsidRDefault="00432631">
      <w:pPr>
        <w:pStyle w:val="a5"/>
        <w:widowControl/>
        <w:shd w:val="clear" w:color="auto" w:fill="FFFFFF"/>
        <w:spacing w:beforeAutospacing="0" w:afterAutospacing="0" w:line="560" w:lineRule="atLeast"/>
        <w:jc w:val="center"/>
        <w:rPr>
          <w:rFonts w:ascii="宋体" w:hAnsi="宋体" w:cs="宋体"/>
          <w:color w:val="333333"/>
          <w:sz w:val="44"/>
          <w:szCs w:val="44"/>
          <w:shd w:val="clear" w:color="auto" w:fill="FFFFFF"/>
        </w:rPr>
      </w:pPr>
      <w:r>
        <w:rPr>
          <w:rFonts w:ascii="宋体" w:hAnsi="宋体" w:cs="宋体" w:hint="eastAsia"/>
          <w:color w:val="333333"/>
          <w:sz w:val="44"/>
          <w:szCs w:val="44"/>
          <w:shd w:val="clear" w:color="auto" w:fill="FFFFFF"/>
        </w:rPr>
        <w:lastRenderedPageBreak/>
        <w:t>第二部分 赣州市</w:t>
      </w:r>
      <w:r w:rsidR="00811530" w:rsidRPr="00811530">
        <w:rPr>
          <w:rFonts w:ascii="宋体" w:hAnsi="宋体" w:cs="宋体" w:hint="eastAsia"/>
          <w:color w:val="333333"/>
          <w:sz w:val="44"/>
          <w:szCs w:val="44"/>
          <w:shd w:val="clear" w:color="auto" w:fill="FFFFFF"/>
        </w:rPr>
        <w:t>赣县区统计</w:t>
      </w:r>
      <w:r w:rsidR="00811530">
        <w:rPr>
          <w:rFonts w:ascii="宋体" w:hAnsi="宋体" w:cs="宋体" w:hint="eastAsia"/>
          <w:color w:val="333333"/>
          <w:sz w:val="44"/>
          <w:szCs w:val="44"/>
          <w:shd w:val="clear" w:color="auto" w:fill="FFFFFF"/>
        </w:rPr>
        <w:t>部门</w:t>
      </w:r>
      <w:r>
        <w:rPr>
          <w:rFonts w:ascii="宋体" w:hAnsi="宋体" w:cs="宋体" w:hint="eastAsia"/>
          <w:color w:val="333333"/>
          <w:sz w:val="44"/>
          <w:szCs w:val="44"/>
          <w:shd w:val="clear" w:color="auto" w:fill="FFFFFF"/>
        </w:rPr>
        <w:t>2020年</w:t>
      </w:r>
    </w:p>
    <w:p w:rsidR="00F4219B" w:rsidRDefault="00432631">
      <w:pPr>
        <w:pStyle w:val="a5"/>
        <w:widowControl/>
        <w:shd w:val="clear" w:color="auto" w:fill="FFFFFF"/>
        <w:spacing w:beforeAutospacing="0" w:afterAutospacing="0" w:line="560" w:lineRule="atLeast"/>
        <w:jc w:val="center"/>
        <w:rPr>
          <w:rFonts w:ascii="Calibri" w:hAnsi="Calibri" w:cs="Calibri"/>
          <w:color w:val="333333"/>
          <w:sz w:val="21"/>
          <w:szCs w:val="21"/>
        </w:rPr>
      </w:pPr>
      <w:r>
        <w:rPr>
          <w:rFonts w:ascii="宋体" w:hAnsi="宋体" w:cs="宋体" w:hint="eastAsia"/>
          <w:color w:val="333333"/>
          <w:sz w:val="44"/>
          <w:szCs w:val="44"/>
          <w:shd w:val="clear" w:color="auto" w:fill="FFFFFF"/>
        </w:rPr>
        <w:t>部门预算情况说明</w:t>
      </w:r>
    </w:p>
    <w:p w:rsidR="00F4219B" w:rsidRDefault="00432631">
      <w:pPr>
        <w:pStyle w:val="a5"/>
        <w:widowControl/>
        <w:shd w:val="clear" w:color="auto" w:fill="FFFFFF"/>
        <w:spacing w:beforeAutospacing="0" w:afterAutospacing="0" w:line="560" w:lineRule="atLeast"/>
        <w:jc w:val="center"/>
        <w:rPr>
          <w:rFonts w:ascii="Calibri" w:hAnsi="Calibri" w:cs="Calibri"/>
          <w:color w:val="333333"/>
          <w:sz w:val="21"/>
          <w:szCs w:val="21"/>
        </w:rPr>
      </w:pPr>
      <w:r>
        <w:rPr>
          <w:rFonts w:ascii="宋体" w:hAnsi="宋体" w:cs="宋体" w:hint="eastAsia"/>
          <w:color w:val="333333"/>
          <w:sz w:val="44"/>
          <w:szCs w:val="44"/>
          <w:shd w:val="clear" w:color="auto" w:fill="FFFFFF"/>
        </w:rPr>
        <w:t> </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黑体" w:eastAsia="黑体" w:hAnsi="宋体" w:cs="黑体" w:hint="eastAsia"/>
          <w:color w:val="333333"/>
          <w:sz w:val="32"/>
          <w:szCs w:val="32"/>
          <w:shd w:val="clear" w:color="auto" w:fill="FFFFFF"/>
        </w:rPr>
        <w:t>一、2020年部门预算收支情况说明</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（一）收入预算情况</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 2020年赣州市</w:t>
      </w:r>
      <w:r w:rsidR="00811530">
        <w:rPr>
          <w:rFonts w:ascii="仿宋" w:eastAsia="仿宋" w:hAnsi="仿宋" w:cs="仿宋" w:hint="eastAsia"/>
          <w:color w:val="333333"/>
          <w:sz w:val="32"/>
          <w:szCs w:val="32"/>
          <w:shd w:val="clear" w:color="auto" w:fill="FFFFFF"/>
        </w:rPr>
        <w:t>赣县区统计部门</w:t>
      </w:r>
      <w:r>
        <w:rPr>
          <w:rFonts w:ascii="仿宋" w:eastAsia="仿宋" w:hAnsi="仿宋" w:cs="仿宋" w:hint="eastAsia"/>
          <w:color w:val="333333"/>
          <w:sz w:val="32"/>
          <w:szCs w:val="32"/>
          <w:shd w:val="clear" w:color="auto" w:fill="FFFFFF"/>
        </w:rPr>
        <w:t>收入预算总额为</w:t>
      </w:r>
      <w:r w:rsidR="00811530">
        <w:rPr>
          <w:rFonts w:ascii="仿宋" w:eastAsia="仿宋" w:hAnsi="仿宋" w:cs="仿宋" w:hint="eastAsia"/>
          <w:color w:val="333333"/>
          <w:sz w:val="32"/>
          <w:szCs w:val="32"/>
          <w:shd w:val="clear" w:color="auto" w:fill="FFFFFF"/>
        </w:rPr>
        <w:t>691.66</w:t>
      </w:r>
      <w:r>
        <w:rPr>
          <w:rFonts w:ascii="仿宋" w:eastAsia="仿宋" w:hAnsi="仿宋" w:cs="仿宋" w:hint="eastAsia"/>
          <w:color w:val="333333"/>
          <w:sz w:val="32"/>
          <w:szCs w:val="32"/>
          <w:shd w:val="clear" w:color="auto" w:fill="FFFFFF"/>
        </w:rPr>
        <w:t>万元，较上年预算安排</w:t>
      </w:r>
      <w:r w:rsidR="00811530">
        <w:rPr>
          <w:rFonts w:ascii="仿宋" w:eastAsia="仿宋" w:hAnsi="仿宋" w:cs="仿宋" w:hint="eastAsia"/>
          <w:color w:val="333333"/>
          <w:sz w:val="32"/>
          <w:szCs w:val="32"/>
          <w:shd w:val="clear" w:color="auto" w:fill="FFFFFF"/>
        </w:rPr>
        <w:t>增加25.25</w:t>
      </w:r>
      <w:r>
        <w:rPr>
          <w:rFonts w:ascii="仿宋" w:eastAsia="仿宋" w:hAnsi="仿宋" w:cs="仿宋" w:hint="eastAsia"/>
          <w:color w:val="333333"/>
          <w:sz w:val="32"/>
          <w:szCs w:val="32"/>
          <w:shd w:val="clear" w:color="auto" w:fill="FFFFFF"/>
        </w:rPr>
        <w:t>%。其中：财政拨款收入</w:t>
      </w:r>
      <w:r w:rsidR="00811530">
        <w:rPr>
          <w:rFonts w:ascii="仿宋" w:eastAsia="仿宋" w:hAnsi="仿宋" w:cs="仿宋" w:hint="eastAsia"/>
          <w:color w:val="333333"/>
          <w:sz w:val="32"/>
          <w:szCs w:val="32"/>
          <w:shd w:val="clear" w:color="auto" w:fill="FFFFFF"/>
        </w:rPr>
        <w:t>686.66</w:t>
      </w:r>
      <w:r>
        <w:rPr>
          <w:rFonts w:ascii="仿宋" w:eastAsia="仿宋" w:hAnsi="仿宋" w:cs="仿宋" w:hint="eastAsia"/>
          <w:color w:val="333333"/>
          <w:sz w:val="32"/>
          <w:szCs w:val="32"/>
          <w:shd w:val="clear" w:color="auto" w:fill="FFFFFF"/>
        </w:rPr>
        <w:t>万元，上年结转（结余）</w:t>
      </w:r>
      <w:r w:rsidR="00811530">
        <w:rPr>
          <w:rFonts w:ascii="仿宋" w:eastAsia="仿宋" w:hAnsi="仿宋" w:cs="仿宋" w:hint="eastAsia"/>
          <w:color w:val="333333"/>
          <w:sz w:val="32"/>
          <w:szCs w:val="32"/>
          <w:shd w:val="clear" w:color="auto" w:fill="FFFFFF"/>
        </w:rPr>
        <w:t>5</w:t>
      </w:r>
      <w:r>
        <w:rPr>
          <w:rFonts w:ascii="仿宋" w:eastAsia="仿宋" w:hAnsi="仿宋" w:cs="仿宋" w:hint="eastAsia"/>
          <w:color w:val="333333"/>
          <w:sz w:val="32"/>
          <w:szCs w:val="32"/>
          <w:shd w:val="clear" w:color="auto" w:fill="FFFFFF"/>
        </w:rPr>
        <w:t>万元。</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（二）支出预算情况</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2020年</w:t>
      </w:r>
      <w:r w:rsidR="00811530">
        <w:rPr>
          <w:rFonts w:ascii="仿宋" w:eastAsia="仿宋" w:hAnsi="仿宋" w:cs="仿宋" w:hint="eastAsia"/>
          <w:color w:val="333333"/>
          <w:sz w:val="32"/>
          <w:szCs w:val="32"/>
          <w:shd w:val="clear" w:color="auto" w:fill="FFFFFF"/>
        </w:rPr>
        <w:t>统计局</w:t>
      </w:r>
      <w:r>
        <w:rPr>
          <w:rFonts w:ascii="仿宋" w:eastAsia="仿宋" w:hAnsi="仿宋" w:cs="仿宋" w:hint="eastAsia"/>
          <w:color w:val="333333"/>
          <w:sz w:val="32"/>
          <w:szCs w:val="32"/>
          <w:shd w:val="clear" w:color="auto" w:fill="FFFFFF"/>
        </w:rPr>
        <w:t>支出预算总额为</w:t>
      </w:r>
      <w:r w:rsidR="00811530">
        <w:rPr>
          <w:rFonts w:ascii="仿宋" w:eastAsia="仿宋" w:hAnsi="仿宋" w:cs="仿宋" w:hint="eastAsia"/>
          <w:color w:val="333333"/>
          <w:sz w:val="32"/>
          <w:szCs w:val="32"/>
          <w:shd w:val="clear" w:color="auto" w:fill="FFFFFF"/>
        </w:rPr>
        <w:t>691.66</w:t>
      </w:r>
      <w:r>
        <w:rPr>
          <w:rFonts w:ascii="仿宋" w:eastAsia="仿宋" w:hAnsi="仿宋" w:cs="仿宋" w:hint="eastAsia"/>
          <w:color w:val="333333"/>
          <w:sz w:val="32"/>
          <w:szCs w:val="32"/>
          <w:shd w:val="clear" w:color="auto" w:fill="FFFFFF"/>
        </w:rPr>
        <w:t>万元，较上年预算安排</w:t>
      </w:r>
      <w:r w:rsidR="00811530">
        <w:rPr>
          <w:rFonts w:ascii="仿宋" w:eastAsia="仿宋" w:hAnsi="仿宋" w:cs="仿宋" w:hint="eastAsia"/>
          <w:color w:val="333333"/>
          <w:sz w:val="32"/>
          <w:szCs w:val="32"/>
          <w:shd w:val="clear" w:color="auto" w:fill="FFFFFF"/>
        </w:rPr>
        <w:t>增加58.25</w:t>
      </w:r>
      <w:r>
        <w:rPr>
          <w:rFonts w:ascii="仿宋" w:eastAsia="仿宋" w:hAnsi="仿宋" w:cs="仿宋" w:hint="eastAsia"/>
          <w:color w:val="333333"/>
          <w:sz w:val="32"/>
          <w:szCs w:val="32"/>
          <w:shd w:val="clear" w:color="auto" w:fill="FFFFFF"/>
        </w:rPr>
        <w:t>%。按支出功能科目划分：</w:t>
      </w:r>
      <w:r w:rsidR="00811530">
        <w:rPr>
          <w:rFonts w:ascii="仿宋" w:eastAsia="仿宋" w:hAnsi="仿宋" w:cs="仿宋" w:hint="eastAsia"/>
          <w:color w:val="333333"/>
          <w:sz w:val="32"/>
          <w:szCs w:val="32"/>
          <w:shd w:val="clear" w:color="auto" w:fill="FFFFFF"/>
        </w:rPr>
        <w:t>一般公共服务支出642.</w:t>
      </w:r>
      <w:r w:rsidR="00394A4E">
        <w:rPr>
          <w:rFonts w:ascii="仿宋" w:eastAsia="仿宋" w:hAnsi="仿宋" w:cs="仿宋" w:hint="eastAsia"/>
          <w:color w:val="333333"/>
          <w:sz w:val="32"/>
          <w:szCs w:val="32"/>
          <w:shd w:val="clear" w:color="auto" w:fill="FFFFFF"/>
        </w:rPr>
        <w:t>78</w:t>
      </w:r>
      <w:r w:rsidR="00811530">
        <w:rPr>
          <w:rFonts w:ascii="仿宋" w:eastAsia="仿宋" w:hAnsi="仿宋" w:cs="仿宋" w:hint="eastAsia"/>
          <w:color w:val="333333"/>
          <w:sz w:val="32"/>
          <w:szCs w:val="32"/>
          <w:shd w:val="clear" w:color="auto" w:fill="FFFFFF"/>
        </w:rPr>
        <w:t>万元，</w:t>
      </w:r>
      <w:r>
        <w:rPr>
          <w:rFonts w:ascii="仿宋" w:eastAsia="仿宋" w:hAnsi="仿宋" w:cs="仿宋" w:hint="eastAsia"/>
          <w:color w:val="333333"/>
          <w:sz w:val="32"/>
          <w:szCs w:val="32"/>
          <w:shd w:val="clear" w:color="auto" w:fill="FFFFFF"/>
        </w:rPr>
        <w:t>社会保障和就业支出</w:t>
      </w:r>
      <w:r w:rsidR="00394A4E">
        <w:rPr>
          <w:rFonts w:ascii="仿宋" w:eastAsia="仿宋" w:hAnsi="仿宋" w:cs="仿宋" w:hint="eastAsia"/>
          <w:color w:val="333333"/>
          <w:sz w:val="32"/>
          <w:szCs w:val="32"/>
          <w:shd w:val="clear" w:color="auto" w:fill="FFFFFF"/>
        </w:rPr>
        <w:t>23.87</w:t>
      </w:r>
      <w:r>
        <w:rPr>
          <w:rFonts w:ascii="仿宋" w:eastAsia="仿宋" w:hAnsi="仿宋" w:cs="仿宋" w:hint="eastAsia"/>
          <w:color w:val="333333"/>
          <w:sz w:val="32"/>
          <w:szCs w:val="32"/>
          <w:shd w:val="clear" w:color="auto" w:fill="FFFFFF"/>
        </w:rPr>
        <w:t>万元，卫生健康支出</w:t>
      </w:r>
      <w:r w:rsidR="00394A4E">
        <w:rPr>
          <w:rFonts w:ascii="仿宋" w:eastAsia="仿宋" w:hAnsi="仿宋" w:cs="仿宋" w:hint="eastAsia"/>
          <w:color w:val="333333"/>
          <w:sz w:val="32"/>
          <w:szCs w:val="32"/>
          <w:shd w:val="clear" w:color="auto" w:fill="FFFFFF"/>
        </w:rPr>
        <w:t>9.86</w:t>
      </w:r>
      <w:r>
        <w:rPr>
          <w:rFonts w:ascii="仿宋" w:eastAsia="仿宋" w:hAnsi="仿宋" w:cs="仿宋" w:hint="eastAsia"/>
          <w:color w:val="333333"/>
          <w:sz w:val="32"/>
          <w:szCs w:val="32"/>
          <w:shd w:val="clear" w:color="auto" w:fill="FFFFFF"/>
        </w:rPr>
        <w:t>万元，住房保障支出</w:t>
      </w:r>
      <w:r w:rsidR="00394A4E">
        <w:rPr>
          <w:rFonts w:ascii="仿宋" w:eastAsia="仿宋" w:hAnsi="仿宋" w:cs="仿宋" w:hint="eastAsia"/>
          <w:color w:val="333333"/>
          <w:sz w:val="32"/>
          <w:szCs w:val="32"/>
          <w:shd w:val="clear" w:color="auto" w:fill="FFFFFF"/>
        </w:rPr>
        <w:t>15.15</w:t>
      </w:r>
      <w:r>
        <w:rPr>
          <w:rFonts w:ascii="仿宋" w:eastAsia="仿宋" w:hAnsi="仿宋" w:cs="仿宋" w:hint="eastAsia"/>
          <w:color w:val="333333"/>
          <w:sz w:val="32"/>
          <w:szCs w:val="32"/>
          <w:shd w:val="clear" w:color="auto" w:fill="FFFFFF"/>
        </w:rPr>
        <w:t>万元。</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（三）财政拨款支出情况</w:t>
      </w:r>
    </w:p>
    <w:p w:rsidR="00394A4E" w:rsidRPr="00394A4E" w:rsidRDefault="00432631" w:rsidP="00394A4E">
      <w:pPr>
        <w:widowControl/>
        <w:spacing w:line="560" w:lineRule="exact"/>
        <w:ind w:firstLine="640"/>
        <w:jc w:val="left"/>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2020年</w:t>
      </w:r>
      <w:r w:rsidR="00394A4E">
        <w:rPr>
          <w:rFonts w:ascii="仿宋" w:eastAsia="仿宋" w:hAnsi="仿宋" w:cs="仿宋" w:hint="eastAsia"/>
          <w:color w:val="333333"/>
          <w:sz w:val="32"/>
          <w:szCs w:val="32"/>
          <w:shd w:val="clear" w:color="auto" w:fill="FFFFFF"/>
        </w:rPr>
        <w:t>统计局</w:t>
      </w:r>
      <w:r>
        <w:rPr>
          <w:rFonts w:ascii="仿宋" w:eastAsia="仿宋" w:hAnsi="仿宋" w:cs="仿宋" w:hint="eastAsia"/>
          <w:color w:val="333333"/>
          <w:sz w:val="32"/>
          <w:szCs w:val="32"/>
          <w:shd w:val="clear" w:color="auto" w:fill="FFFFFF"/>
        </w:rPr>
        <w:t>财政拨款支出预算</w:t>
      </w:r>
      <w:r w:rsidR="00394A4E">
        <w:rPr>
          <w:rFonts w:ascii="仿宋" w:eastAsia="仿宋" w:hAnsi="仿宋" w:cs="仿宋" w:hint="eastAsia"/>
          <w:color w:val="333333"/>
          <w:sz w:val="32"/>
          <w:szCs w:val="32"/>
          <w:shd w:val="clear" w:color="auto" w:fill="FFFFFF"/>
        </w:rPr>
        <w:t>691.66万元，较上年预算安排增加58.25%</w:t>
      </w:r>
      <w:r>
        <w:rPr>
          <w:rFonts w:ascii="仿宋" w:eastAsia="仿宋" w:hAnsi="仿宋" w:cs="仿宋" w:hint="eastAsia"/>
          <w:color w:val="333333"/>
          <w:sz w:val="32"/>
          <w:szCs w:val="32"/>
          <w:shd w:val="clear" w:color="auto" w:fill="FFFFFF"/>
        </w:rPr>
        <w:t>。</w:t>
      </w:r>
      <w:r w:rsidR="00394A4E" w:rsidRPr="00394A4E">
        <w:rPr>
          <w:rFonts w:ascii="仿宋" w:eastAsia="仿宋" w:hAnsi="仿宋" w:cs="仿宋" w:hint="eastAsia"/>
          <w:color w:val="333333"/>
          <w:sz w:val="32"/>
          <w:szCs w:val="32"/>
          <w:shd w:val="clear" w:color="auto" w:fill="FFFFFF"/>
        </w:rPr>
        <w:t>其中：按支出项目类别划分：基本支出</w:t>
      </w:r>
      <w:r w:rsidR="00394A4E" w:rsidRPr="00394A4E">
        <w:rPr>
          <w:rFonts w:ascii="仿宋" w:eastAsia="仿宋" w:hAnsi="仿宋" w:cs="仿宋"/>
          <w:color w:val="333333"/>
          <w:sz w:val="32"/>
          <w:szCs w:val="32"/>
          <w:shd w:val="clear" w:color="auto" w:fill="FFFFFF"/>
        </w:rPr>
        <w:t>210.21</w:t>
      </w:r>
      <w:r w:rsidR="00394A4E" w:rsidRPr="00394A4E">
        <w:rPr>
          <w:rFonts w:ascii="仿宋" w:eastAsia="仿宋" w:hAnsi="仿宋" w:cs="仿宋" w:hint="eastAsia"/>
          <w:color w:val="333333"/>
          <w:sz w:val="32"/>
          <w:szCs w:val="32"/>
          <w:shd w:val="clear" w:color="auto" w:fill="FFFFFF"/>
        </w:rPr>
        <w:t>万元，占支出预算总额的30.39%，包括工资福利支出</w:t>
      </w:r>
      <w:r w:rsidR="00394A4E" w:rsidRPr="00394A4E">
        <w:rPr>
          <w:rFonts w:ascii="仿宋" w:eastAsia="仿宋" w:hAnsi="仿宋" w:cs="仿宋"/>
          <w:color w:val="333333"/>
          <w:sz w:val="32"/>
          <w:szCs w:val="32"/>
          <w:shd w:val="clear" w:color="auto" w:fill="FFFFFF"/>
        </w:rPr>
        <w:t>178.16</w:t>
      </w:r>
      <w:r w:rsidR="00394A4E" w:rsidRPr="00394A4E">
        <w:rPr>
          <w:rFonts w:ascii="仿宋" w:eastAsia="仿宋" w:hAnsi="仿宋" w:cs="仿宋" w:hint="eastAsia"/>
          <w:color w:val="333333"/>
          <w:sz w:val="32"/>
          <w:szCs w:val="32"/>
          <w:shd w:val="clear" w:color="auto" w:fill="FFFFFF"/>
        </w:rPr>
        <w:t>万元、商品和服务支出</w:t>
      </w:r>
      <w:r w:rsidR="00394A4E" w:rsidRPr="00394A4E">
        <w:rPr>
          <w:rFonts w:ascii="仿宋" w:eastAsia="仿宋" w:hAnsi="仿宋" w:cs="仿宋"/>
          <w:color w:val="333333"/>
          <w:sz w:val="32"/>
          <w:szCs w:val="32"/>
          <w:shd w:val="clear" w:color="auto" w:fill="FFFFFF"/>
        </w:rPr>
        <w:t>27.25</w:t>
      </w:r>
      <w:r w:rsidR="00394A4E" w:rsidRPr="00394A4E">
        <w:rPr>
          <w:rFonts w:ascii="仿宋" w:eastAsia="仿宋" w:hAnsi="仿宋" w:cs="仿宋" w:hint="eastAsia"/>
          <w:color w:val="333333"/>
          <w:sz w:val="32"/>
          <w:szCs w:val="32"/>
          <w:shd w:val="clear" w:color="auto" w:fill="FFFFFF"/>
        </w:rPr>
        <w:t>万元、对个人和家庭的补助支出</w:t>
      </w:r>
      <w:r w:rsidR="00394A4E" w:rsidRPr="00394A4E">
        <w:rPr>
          <w:rFonts w:ascii="仿宋" w:eastAsia="仿宋" w:hAnsi="仿宋" w:cs="仿宋"/>
          <w:color w:val="333333"/>
          <w:sz w:val="32"/>
          <w:szCs w:val="32"/>
          <w:shd w:val="clear" w:color="auto" w:fill="FFFFFF"/>
        </w:rPr>
        <w:t>4.8</w:t>
      </w:r>
      <w:r w:rsidR="00394A4E" w:rsidRPr="00394A4E">
        <w:rPr>
          <w:rFonts w:ascii="仿宋" w:eastAsia="仿宋" w:hAnsi="仿宋" w:cs="仿宋" w:hint="eastAsia"/>
          <w:color w:val="333333"/>
          <w:sz w:val="32"/>
          <w:szCs w:val="32"/>
          <w:shd w:val="clear" w:color="auto" w:fill="FFFFFF"/>
        </w:rPr>
        <w:t>万元；项目支出</w:t>
      </w:r>
      <w:r w:rsidR="00394A4E" w:rsidRPr="00394A4E">
        <w:rPr>
          <w:rFonts w:ascii="仿宋" w:eastAsia="仿宋" w:hAnsi="仿宋" w:cs="仿宋"/>
          <w:color w:val="333333"/>
          <w:sz w:val="32"/>
          <w:szCs w:val="32"/>
          <w:shd w:val="clear" w:color="auto" w:fill="FFFFFF"/>
        </w:rPr>
        <w:t>481.45</w:t>
      </w:r>
      <w:r w:rsidR="00394A4E" w:rsidRPr="00394A4E">
        <w:rPr>
          <w:rFonts w:ascii="仿宋" w:eastAsia="仿宋" w:hAnsi="仿宋" w:cs="仿宋" w:hint="eastAsia"/>
          <w:color w:val="333333"/>
          <w:sz w:val="32"/>
          <w:szCs w:val="32"/>
          <w:shd w:val="clear" w:color="auto" w:fill="FFFFFF"/>
        </w:rPr>
        <w:t>万元，占支出预算总额的69.61%；专项普查活动项目支出</w:t>
      </w:r>
      <w:r w:rsidR="00394A4E" w:rsidRPr="00394A4E">
        <w:rPr>
          <w:rFonts w:ascii="仿宋" w:eastAsia="仿宋" w:hAnsi="仿宋" w:cs="仿宋"/>
          <w:color w:val="333333"/>
          <w:sz w:val="32"/>
          <w:szCs w:val="32"/>
          <w:shd w:val="clear" w:color="auto" w:fill="FFFFFF"/>
        </w:rPr>
        <w:t>481.45</w:t>
      </w:r>
      <w:r w:rsidR="00394A4E" w:rsidRPr="00394A4E">
        <w:rPr>
          <w:rFonts w:ascii="仿宋" w:eastAsia="仿宋" w:hAnsi="仿宋" w:cs="仿宋" w:hint="eastAsia"/>
          <w:color w:val="333333"/>
          <w:sz w:val="32"/>
          <w:szCs w:val="32"/>
          <w:shd w:val="clear" w:color="auto" w:fill="FFFFFF"/>
        </w:rPr>
        <w:t>万元。</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（五）机关运行经费等重要事项的说明</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2020年赣州市</w:t>
      </w:r>
      <w:r w:rsidR="00DA0D2B">
        <w:rPr>
          <w:rFonts w:ascii="仿宋" w:eastAsia="仿宋" w:hAnsi="仿宋" w:cs="仿宋" w:hint="eastAsia"/>
          <w:color w:val="333333"/>
          <w:sz w:val="32"/>
          <w:szCs w:val="32"/>
          <w:shd w:val="clear" w:color="auto" w:fill="FFFFFF"/>
        </w:rPr>
        <w:t>赣县区</w:t>
      </w:r>
      <w:r w:rsidR="00394A4E">
        <w:rPr>
          <w:rFonts w:ascii="仿宋" w:eastAsia="仿宋" w:hAnsi="仿宋" w:cs="仿宋" w:hint="eastAsia"/>
          <w:color w:val="333333"/>
          <w:sz w:val="32"/>
          <w:szCs w:val="32"/>
          <w:shd w:val="clear" w:color="auto" w:fill="FFFFFF"/>
        </w:rPr>
        <w:t>统计局</w:t>
      </w:r>
      <w:r>
        <w:rPr>
          <w:rFonts w:ascii="仿宋" w:eastAsia="仿宋" w:hAnsi="仿宋" w:cs="仿宋" w:hint="eastAsia"/>
          <w:color w:val="333333"/>
          <w:sz w:val="32"/>
          <w:szCs w:val="32"/>
          <w:shd w:val="clear" w:color="auto" w:fill="FFFFFF"/>
        </w:rPr>
        <w:t>单位运行经费财政拨款预算</w:t>
      </w:r>
      <w:r w:rsidR="00394A4E">
        <w:rPr>
          <w:rFonts w:ascii="仿宋" w:eastAsia="仿宋" w:hAnsi="仿宋" w:cs="仿宋" w:hint="eastAsia"/>
          <w:color w:val="333333"/>
          <w:sz w:val="32"/>
          <w:szCs w:val="32"/>
          <w:shd w:val="clear" w:color="auto" w:fill="FFFFFF"/>
        </w:rPr>
        <w:t>210.21</w:t>
      </w:r>
      <w:r>
        <w:rPr>
          <w:rFonts w:ascii="仿宋" w:eastAsia="仿宋" w:hAnsi="仿宋" w:cs="仿宋" w:hint="eastAsia"/>
          <w:color w:val="333333"/>
          <w:sz w:val="32"/>
          <w:szCs w:val="32"/>
          <w:shd w:val="clear" w:color="auto" w:fill="FFFFFF"/>
        </w:rPr>
        <w:t>万元，较上年增加</w:t>
      </w:r>
      <w:r w:rsidR="00394A4E">
        <w:rPr>
          <w:rFonts w:ascii="仿宋" w:eastAsia="仿宋" w:hAnsi="仿宋" w:cs="仿宋" w:hint="eastAsia"/>
          <w:color w:val="333333"/>
          <w:sz w:val="32"/>
          <w:szCs w:val="32"/>
          <w:shd w:val="clear" w:color="auto" w:fill="FFFFFF"/>
        </w:rPr>
        <w:t>5.6</w:t>
      </w:r>
      <w:r>
        <w:rPr>
          <w:rFonts w:ascii="仿宋" w:eastAsia="仿宋" w:hAnsi="仿宋" w:cs="仿宋" w:hint="eastAsia"/>
          <w:color w:val="333333"/>
          <w:sz w:val="32"/>
          <w:szCs w:val="32"/>
          <w:shd w:val="clear" w:color="auto" w:fill="FFFFFF"/>
        </w:rPr>
        <w:t>万元。主要原因是：人员</w:t>
      </w:r>
      <w:r>
        <w:rPr>
          <w:rFonts w:ascii="仿宋" w:eastAsia="仿宋" w:hAnsi="仿宋" w:cs="仿宋" w:hint="eastAsia"/>
          <w:color w:val="333333"/>
          <w:sz w:val="32"/>
          <w:szCs w:val="32"/>
          <w:shd w:val="clear" w:color="auto" w:fill="FFFFFF"/>
        </w:rPr>
        <w:lastRenderedPageBreak/>
        <w:t>经费相应有所增加。其中:基本工资</w:t>
      </w:r>
      <w:r w:rsidR="00C46010">
        <w:rPr>
          <w:rFonts w:ascii="仿宋" w:eastAsia="仿宋" w:hAnsi="仿宋" w:cs="仿宋" w:hint="eastAsia"/>
          <w:color w:val="333333"/>
          <w:sz w:val="32"/>
          <w:szCs w:val="32"/>
          <w:shd w:val="clear" w:color="auto" w:fill="FFFFFF"/>
        </w:rPr>
        <w:t>76.32</w:t>
      </w:r>
      <w:r>
        <w:rPr>
          <w:rFonts w:ascii="仿宋" w:eastAsia="仿宋" w:hAnsi="仿宋" w:cs="仿宋" w:hint="eastAsia"/>
          <w:color w:val="333333"/>
          <w:sz w:val="32"/>
          <w:szCs w:val="32"/>
          <w:shd w:val="clear" w:color="auto" w:fill="FFFFFF"/>
        </w:rPr>
        <w:t>万元,统一津贴补贴</w:t>
      </w:r>
      <w:r w:rsidR="00394A4E">
        <w:rPr>
          <w:rFonts w:ascii="仿宋" w:eastAsia="仿宋" w:hAnsi="仿宋" w:cs="仿宋" w:hint="eastAsia"/>
          <w:color w:val="333333"/>
          <w:sz w:val="32"/>
          <w:szCs w:val="32"/>
          <w:shd w:val="clear" w:color="auto" w:fill="FFFFFF"/>
        </w:rPr>
        <w:t>31.06</w:t>
      </w:r>
      <w:r>
        <w:rPr>
          <w:rFonts w:ascii="仿宋" w:eastAsia="仿宋" w:hAnsi="仿宋" w:cs="仿宋" w:hint="eastAsia"/>
          <w:color w:val="333333"/>
          <w:sz w:val="32"/>
          <w:szCs w:val="32"/>
          <w:shd w:val="clear" w:color="auto" w:fill="FFFFFF"/>
        </w:rPr>
        <w:t>,年终一次性奖金</w:t>
      </w:r>
      <w:r w:rsidR="00394A4E">
        <w:rPr>
          <w:rFonts w:ascii="仿宋" w:eastAsia="仿宋" w:hAnsi="仿宋" w:cs="仿宋" w:hint="eastAsia"/>
          <w:color w:val="333333"/>
          <w:sz w:val="32"/>
          <w:szCs w:val="32"/>
          <w:shd w:val="clear" w:color="auto" w:fill="FFFFFF"/>
        </w:rPr>
        <w:t>4.03</w:t>
      </w:r>
      <w:r>
        <w:rPr>
          <w:rFonts w:ascii="仿宋" w:eastAsia="仿宋" w:hAnsi="仿宋" w:cs="仿宋" w:hint="eastAsia"/>
          <w:color w:val="333333"/>
          <w:sz w:val="32"/>
          <w:szCs w:val="32"/>
          <w:shd w:val="clear" w:color="auto" w:fill="FFFFFF"/>
        </w:rPr>
        <w:t>万元,绩效工资</w:t>
      </w:r>
      <w:r w:rsidR="00394A4E">
        <w:rPr>
          <w:rFonts w:ascii="仿宋" w:eastAsia="仿宋" w:hAnsi="仿宋" w:cs="仿宋" w:hint="eastAsia"/>
          <w:color w:val="333333"/>
          <w:sz w:val="32"/>
          <w:szCs w:val="32"/>
          <w:shd w:val="clear" w:color="auto" w:fill="FFFFFF"/>
        </w:rPr>
        <w:t>21.23</w:t>
      </w:r>
      <w:r>
        <w:rPr>
          <w:rFonts w:ascii="仿宋" w:eastAsia="仿宋" w:hAnsi="仿宋" w:cs="仿宋" w:hint="eastAsia"/>
          <w:color w:val="333333"/>
          <w:sz w:val="32"/>
          <w:szCs w:val="32"/>
          <w:shd w:val="clear" w:color="auto" w:fill="FFFFFF"/>
        </w:rPr>
        <w:t>万元,机关事业单位基本养老保险缴费</w:t>
      </w:r>
      <w:r w:rsidR="00394A4E">
        <w:rPr>
          <w:rFonts w:ascii="仿宋" w:eastAsia="仿宋" w:hAnsi="仿宋" w:cs="仿宋" w:hint="eastAsia"/>
          <w:color w:val="333333"/>
          <w:sz w:val="32"/>
          <w:szCs w:val="32"/>
          <w:shd w:val="clear" w:color="auto" w:fill="FFFFFF"/>
        </w:rPr>
        <w:t>19.07</w:t>
      </w:r>
      <w:r>
        <w:rPr>
          <w:rFonts w:ascii="仿宋" w:eastAsia="仿宋" w:hAnsi="仿宋" w:cs="仿宋" w:hint="eastAsia"/>
          <w:color w:val="333333"/>
          <w:sz w:val="32"/>
          <w:szCs w:val="32"/>
          <w:shd w:val="clear" w:color="auto" w:fill="FFFFFF"/>
        </w:rPr>
        <w:t>万元,职工基本医疗保险缴费</w:t>
      </w:r>
      <w:r w:rsidR="00394A4E">
        <w:rPr>
          <w:rFonts w:ascii="仿宋" w:eastAsia="仿宋" w:hAnsi="仿宋" w:cs="仿宋" w:hint="eastAsia"/>
          <w:color w:val="333333"/>
          <w:sz w:val="32"/>
          <w:szCs w:val="32"/>
          <w:shd w:val="clear" w:color="auto" w:fill="FFFFFF"/>
        </w:rPr>
        <w:t>9.86</w:t>
      </w:r>
      <w:r>
        <w:rPr>
          <w:rFonts w:ascii="仿宋" w:eastAsia="仿宋" w:hAnsi="仿宋" w:cs="仿宋" w:hint="eastAsia"/>
          <w:color w:val="333333"/>
          <w:sz w:val="32"/>
          <w:szCs w:val="32"/>
          <w:shd w:val="clear" w:color="auto" w:fill="FFFFFF"/>
        </w:rPr>
        <w:t>万元,住房公积金</w:t>
      </w:r>
      <w:r w:rsidR="00394A4E">
        <w:rPr>
          <w:rFonts w:ascii="仿宋" w:eastAsia="仿宋" w:hAnsi="仿宋" w:cs="仿宋" w:hint="eastAsia"/>
          <w:color w:val="333333"/>
          <w:sz w:val="32"/>
          <w:szCs w:val="32"/>
          <w:shd w:val="clear" w:color="auto" w:fill="FFFFFF"/>
        </w:rPr>
        <w:t>15.15</w:t>
      </w:r>
      <w:r>
        <w:rPr>
          <w:rFonts w:ascii="仿宋" w:eastAsia="仿宋" w:hAnsi="仿宋" w:cs="仿宋" w:hint="eastAsia"/>
          <w:color w:val="333333"/>
          <w:sz w:val="32"/>
          <w:szCs w:val="32"/>
          <w:shd w:val="clear" w:color="auto" w:fill="FFFFFF"/>
        </w:rPr>
        <w:t>万元,其他工资福利支出</w:t>
      </w:r>
      <w:r w:rsidR="00394A4E">
        <w:rPr>
          <w:rFonts w:ascii="仿宋" w:eastAsia="仿宋" w:hAnsi="仿宋" w:cs="仿宋" w:hint="eastAsia"/>
          <w:color w:val="333333"/>
          <w:sz w:val="32"/>
          <w:szCs w:val="32"/>
          <w:shd w:val="clear" w:color="auto" w:fill="FFFFFF"/>
        </w:rPr>
        <w:t>1.44</w:t>
      </w:r>
      <w:r>
        <w:rPr>
          <w:rFonts w:ascii="仿宋" w:eastAsia="仿宋" w:hAnsi="仿宋" w:cs="仿宋" w:hint="eastAsia"/>
          <w:color w:val="333333"/>
          <w:sz w:val="32"/>
          <w:szCs w:val="32"/>
          <w:shd w:val="clear" w:color="auto" w:fill="FFFFFF"/>
        </w:rPr>
        <w:t>万元,办公费</w:t>
      </w:r>
      <w:r w:rsidR="00394A4E">
        <w:rPr>
          <w:rFonts w:ascii="仿宋" w:eastAsia="仿宋" w:hAnsi="仿宋" w:cs="仿宋" w:hint="eastAsia"/>
          <w:color w:val="333333"/>
          <w:sz w:val="32"/>
          <w:szCs w:val="32"/>
          <w:shd w:val="clear" w:color="auto" w:fill="FFFFFF"/>
        </w:rPr>
        <w:t>3万元，印刷费1万元，邮电费2万元，</w:t>
      </w:r>
      <w:r>
        <w:rPr>
          <w:rFonts w:ascii="仿宋" w:eastAsia="仿宋" w:hAnsi="仿宋" w:cs="仿宋" w:hint="eastAsia"/>
          <w:color w:val="333333"/>
          <w:sz w:val="32"/>
          <w:szCs w:val="32"/>
          <w:shd w:val="clear" w:color="auto" w:fill="FFFFFF"/>
        </w:rPr>
        <w:t>取暖费</w:t>
      </w:r>
      <w:r w:rsidR="00394A4E">
        <w:rPr>
          <w:rFonts w:ascii="仿宋" w:eastAsia="仿宋" w:hAnsi="仿宋" w:cs="仿宋" w:hint="eastAsia"/>
          <w:color w:val="333333"/>
          <w:sz w:val="32"/>
          <w:szCs w:val="32"/>
          <w:shd w:val="clear" w:color="auto" w:fill="FFFFFF"/>
        </w:rPr>
        <w:t>0.43</w:t>
      </w:r>
      <w:r>
        <w:rPr>
          <w:rFonts w:ascii="仿宋" w:eastAsia="仿宋" w:hAnsi="仿宋" w:cs="仿宋" w:hint="eastAsia"/>
          <w:color w:val="333333"/>
          <w:sz w:val="32"/>
          <w:szCs w:val="32"/>
          <w:shd w:val="clear" w:color="auto" w:fill="FFFFFF"/>
        </w:rPr>
        <w:t>万元，</w:t>
      </w:r>
      <w:r w:rsidR="00394A4E">
        <w:rPr>
          <w:rFonts w:ascii="仿宋" w:eastAsia="仿宋" w:hAnsi="仿宋" w:cs="仿宋" w:hint="eastAsia"/>
          <w:color w:val="333333"/>
          <w:sz w:val="32"/>
          <w:szCs w:val="32"/>
          <w:shd w:val="clear" w:color="auto" w:fill="FFFFFF"/>
        </w:rPr>
        <w:t>差旅费5万元，公务接待费5万元，</w:t>
      </w:r>
      <w:r>
        <w:rPr>
          <w:rFonts w:ascii="仿宋" w:eastAsia="仿宋" w:hAnsi="仿宋" w:cs="仿宋" w:hint="eastAsia"/>
          <w:color w:val="333333"/>
          <w:sz w:val="32"/>
          <w:szCs w:val="32"/>
          <w:shd w:val="clear" w:color="auto" w:fill="FFFFFF"/>
        </w:rPr>
        <w:t>福利费</w:t>
      </w:r>
      <w:r w:rsidR="00394A4E">
        <w:rPr>
          <w:rFonts w:ascii="仿宋" w:eastAsia="仿宋" w:hAnsi="仿宋" w:cs="仿宋" w:hint="eastAsia"/>
          <w:color w:val="333333"/>
          <w:sz w:val="32"/>
          <w:szCs w:val="32"/>
          <w:shd w:val="clear" w:color="auto" w:fill="FFFFFF"/>
        </w:rPr>
        <w:t>1.08</w:t>
      </w:r>
      <w:r>
        <w:rPr>
          <w:rFonts w:ascii="仿宋" w:eastAsia="仿宋" w:hAnsi="仿宋" w:cs="仿宋" w:hint="eastAsia"/>
          <w:color w:val="333333"/>
          <w:sz w:val="32"/>
          <w:szCs w:val="32"/>
          <w:shd w:val="clear" w:color="auto" w:fill="FFFFFF"/>
        </w:rPr>
        <w:t>万元，其他交通费用</w:t>
      </w:r>
      <w:r w:rsidR="00394A4E">
        <w:rPr>
          <w:rFonts w:ascii="仿宋" w:eastAsia="仿宋" w:hAnsi="仿宋" w:cs="仿宋" w:hint="eastAsia"/>
          <w:color w:val="333333"/>
          <w:sz w:val="32"/>
          <w:szCs w:val="32"/>
          <w:shd w:val="clear" w:color="auto" w:fill="FFFFFF"/>
        </w:rPr>
        <w:t>9.74</w:t>
      </w:r>
      <w:r>
        <w:rPr>
          <w:rFonts w:ascii="仿宋" w:eastAsia="仿宋" w:hAnsi="仿宋" w:cs="仿宋" w:hint="eastAsia"/>
          <w:color w:val="333333"/>
          <w:sz w:val="32"/>
          <w:szCs w:val="32"/>
          <w:shd w:val="clear" w:color="auto" w:fill="FFFFFF"/>
        </w:rPr>
        <w:t xml:space="preserve">万元，其他商品和服务  </w:t>
      </w:r>
      <w:r w:rsidR="00394A4E">
        <w:rPr>
          <w:rFonts w:ascii="仿宋" w:eastAsia="仿宋" w:hAnsi="仿宋" w:cs="仿宋" w:hint="eastAsia"/>
          <w:color w:val="333333"/>
          <w:sz w:val="32"/>
          <w:szCs w:val="32"/>
          <w:shd w:val="clear" w:color="auto" w:fill="FFFFFF"/>
        </w:rPr>
        <w:t>2.36</w:t>
      </w:r>
      <w:r>
        <w:rPr>
          <w:rFonts w:ascii="仿宋" w:eastAsia="仿宋" w:hAnsi="仿宋" w:cs="仿宋" w:hint="eastAsia"/>
          <w:color w:val="333333"/>
          <w:sz w:val="32"/>
          <w:szCs w:val="32"/>
          <w:shd w:val="clear" w:color="auto" w:fill="FFFFFF"/>
        </w:rPr>
        <w:t>万元，退休费</w:t>
      </w:r>
      <w:r w:rsidR="00394A4E">
        <w:rPr>
          <w:rFonts w:ascii="仿宋" w:eastAsia="仿宋" w:hAnsi="仿宋" w:cs="仿宋" w:hint="eastAsia"/>
          <w:color w:val="333333"/>
          <w:sz w:val="32"/>
          <w:szCs w:val="32"/>
          <w:shd w:val="clear" w:color="auto" w:fill="FFFFFF"/>
        </w:rPr>
        <w:t>3.49</w:t>
      </w:r>
      <w:r>
        <w:rPr>
          <w:rFonts w:ascii="仿宋" w:eastAsia="仿宋" w:hAnsi="仿宋" w:cs="仿宋" w:hint="eastAsia"/>
          <w:color w:val="333333"/>
          <w:sz w:val="32"/>
          <w:szCs w:val="32"/>
          <w:shd w:val="clear" w:color="auto" w:fill="FFFFFF"/>
        </w:rPr>
        <w:t>万元，</w:t>
      </w:r>
      <w:r w:rsidR="00394A4E">
        <w:rPr>
          <w:rFonts w:ascii="仿宋" w:eastAsia="仿宋" w:hAnsi="仿宋" w:cs="仿宋" w:hint="eastAsia"/>
          <w:color w:val="333333"/>
          <w:sz w:val="32"/>
          <w:szCs w:val="32"/>
          <w:shd w:val="clear" w:color="auto" w:fill="FFFFFF"/>
        </w:rPr>
        <w:t>退休人员交通费0.04万元，独生子女费0.05万元，独生子女</w:t>
      </w:r>
      <w:r>
        <w:rPr>
          <w:rFonts w:ascii="仿宋" w:eastAsia="仿宋" w:hAnsi="仿宋" w:cs="仿宋" w:hint="eastAsia"/>
          <w:color w:val="333333"/>
          <w:sz w:val="32"/>
          <w:szCs w:val="32"/>
          <w:shd w:val="clear" w:color="auto" w:fill="FFFFFF"/>
        </w:rPr>
        <w:t>奖励金</w:t>
      </w:r>
      <w:r w:rsidR="00394A4E">
        <w:rPr>
          <w:rFonts w:ascii="仿宋" w:eastAsia="仿宋" w:hAnsi="仿宋" w:cs="仿宋" w:hint="eastAsia"/>
          <w:color w:val="333333"/>
          <w:sz w:val="32"/>
          <w:szCs w:val="32"/>
          <w:shd w:val="clear" w:color="auto" w:fill="FFFFFF"/>
        </w:rPr>
        <w:t>0.24</w:t>
      </w:r>
      <w:r>
        <w:rPr>
          <w:rFonts w:ascii="仿宋" w:eastAsia="仿宋" w:hAnsi="仿宋" w:cs="仿宋" w:hint="eastAsia"/>
          <w:color w:val="333333"/>
          <w:sz w:val="32"/>
          <w:szCs w:val="32"/>
          <w:shd w:val="clear" w:color="auto" w:fill="FFFFFF"/>
        </w:rPr>
        <w:t>万元，</w:t>
      </w:r>
      <w:r w:rsidR="00394A4E">
        <w:rPr>
          <w:rFonts w:ascii="仿宋" w:eastAsia="仿宋" w:hAnsi="仿宋" w:cs="仿宋" w:hint="eastAsia"/>
          <w:color w:val="333333"/>
          <w:sz w:val="32"/>
          <w:szCs w:val="32"/>
          <w:shd w:val="clear" w:color="auto" w:fill="FFFFFF"/>
        </w:rPr>
        <w:t>退休人员高温津贴</w:t>
      </w:r>
      <w:r w:rsidR="00C46010">
        <w:rPr>
          <w:rFonts w:ascii="仿宋" w:eastAsia="仿宋" w:hAnsi="仿宋" w:cs="仿宋" w:hint="eastAsia"/>
          <w:color w:val="333333"/>
          <w:sz w:val="32"/>
          <w:szCs w:val="32"/>
          <w:shd w:val="clear" w:color="auto" w:fill="FFFFFF"/>
        </w:rPr>
        <w:t>0.48万元，退休人员取暖费0.14万元，</w:t>
      </w:r>
      <w:r>
        <w:rPr>
          <w:rFonts w:ascii="仿宋" w:eastAsia="仿宋" w:hAnsi="仿宋" w:cs="仿宋" w:hint="eastAsia"/>
          <w:color w:val="333333"/>
          <w:sz w:val="32"/>
          <w:szCs w:val="32"/>
          <w:shd w:val="clear" w:color="auto" w:fill="FFFFFF"/>
        </w:rPr>
        <w:t>其他对个人和家庭的补助</w:t>
      </w:r>
      <w:r w:rsidR="00C46010">
        <w:rPr>
          <w:rFonts w:ascii="仿宋" w:eastAsia="仿宋" w:hAnsi="仿宋" w:cs="仿宋" w:hint="eastAsia"/>
          <w:color w:val="333333"/>
          <w:sz w:val="32"/>
          <w:szCs w:val="32"/>
          <w:shd w:val="clear" w:color="auto" w:fill="FFFFFF"/>
        </w:rPr>
        <w:t>0.36</w:t>
      </w:r>
      <w:r>
        <w:rPr>
          <w:rFonts w:ascii="仿宋" w:eastAsia="仿宋" w:hAnsi="仿宋" w:cs="仿宋" w:hint="eastAsia"/>
          <w:color w:val="333333"/>
          <w:sz w:val="32"/>
          <w:szCs w:val="32"/>
          <w:shd w:val="clear" w:color="auto" w:fill="FFFFFF"/>
        </w:rPr>
        <w:t>万元。</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（六）政府采购情况</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2020年我部门所属各单位政府采购预算共安排</w:t>
      </w:r>
      <w:r w:rsidR="00C46010">
        <w:rPr>
          <w:rFonts w:ascii="仿宋" w:eastAsia="仿宋" w:hAnsi="仿宋" w:cs="仿宋" w:hint="eastAsia"/>
          <w:color w:val="333333"/>
          <w:sz w:val="32"/>
          <w:szCs w:val="32"/>
          <w:shd w:val="clear" w:color="auto" w:fill="FFFFFF"/>
        </w:rPr>
        <w:t>187.13</w:t>
      </w:r>
      <w:r>
        <w:rPr>
          <w:rFonts w:ascii="仿宋" w:eastAsia="仿宋" w:hAnsi="仿宋" w:cs="仿宋" w:hint="eastAsia"/>
          <w:color w:val="333333"/>
          <w:sz w:val="32"/>
          <w:szCs w:val="32"/>
          <w:shd w:val="clear" w:color="auto" w:fill="FFFFFF"/>
        </w:rPr>
        <w:t>万元，较上年增加</w:t>
      </w:r>
      <w:r w:rsidR="00C46010">
        <w:rPr>
          <w:rFonts w:ascii="仿宋" w:eastAsia="仿宋" w:hAnsi="仿宋" w:cs="仿宋" w:hint="eastAsia"/>
          <w:color w:val="333333"/>
          <w:sz w:val="32"/>
          <w:szCs w:val="32"/>
          <w:shd w:val="clear" w:color="auto" w:fill="FFFFFF"/>
        </w:rPr>
        <w:t>167.23</w:t>
      </w:r>
      <w:r>
        <w:rPr>
          <w:rFonts w:ascii="仿宋" w:eastAsia="仿宋" w:hAnsi="仿宋" w:cs="仿宋" w:hint="eastAsia"/>
          <w:color w:val="333333"/>
          <w:sz w:val="32"/>
          <w:szCs w:val="32"/>
          <w:shd w:val="clear" w:color="auto" w:fill="FFFFFF"/>
        </w:rPr>
        <w:t>万元。</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（七）国有资产占有使用情况</w:t>
      </w:r>
    </w:p>
    <w:p w:rsidR="00F4219B" w:rsidRDefault="00432631" w:rsidP="00DA0D2B">
      <w:pPr>
        <w:spacing w:line="560" w:lineRule="exact"/>
        <w:ind w:firstLine="600"/>
        <w:rPr>
          <w:rFonts w:ascii="Calibri" w:hAnsi="Calibri" w:cs="Calibri"/>
          <w:color w:val="333333"/>
          <w:szCs w:val="21"/>
        </w:rPr>
      </w:pPr>
      <w:r>
        <w:rPr>
          <w:rFonts w:ascii="仿宋" w:eastAsia="仿宋" w:hAnsi="仿宋" w:cs="仿宋" w:hint="eastAsia"/>
          <w:color w:val="333333"/>
          <w:sz w:val="32"/>
          <w:szCs w:val="32"/>
          <w:shd w:val="clear" w:color="auto" w:fill="FFFFFF"/>
        </w:rPr>
        <w:t>截至2019年12月31日部门</w:t>
      </w:r>
      <w:r w:rsidR="00DA0D2B" w:rsidRPr="00DA0D2B">
        <w:rPr>
          <w:rFonts w:ascii="仿宋" w:eastAsia="仿宋" w:hAnsi="仿宋" w:cs="仿宋" w:hint="eastAsia"/>
          <w:color w:val="333333"/>
          <w:sz w:val="32"/>
          <w:szCs w:val="32"/>
          <w:shd w:val="clear" w:color="auto" w:fill="FFFFFF"/>
        </w:rPr>
        <w:t>没有公务用车，也无价值200万元以上大型设备。</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（八）绩效目标设置情况</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2020年实行绩效目标管理的项目</w:t>
      </w:r>
      <w:r w:rsidR="00C46010">
        <w:rPr>
          <w:rFonts w:ascii="仿宋" w:eastAsia="仿宋" w:hAnsi="仿宋" w:cs="仿宋" w:hint="eastAsia"/>
          <w:color w:val="333333"/>
          <w:sz w:val="32"/>
          <w:szCs w:val="32"/>
          <w:shd w:val="clear" w:color="auto" w:fill="FFFFFF"/>
        </w:rPr>
        <w:t>5</w:t>
      </w:r>
      <w:r>
        <w:rPr>
          <w:rFonts w:ascii="仿宋" w:eastAsia="仿宋" w:hAnsi="仿宋" w:cs="仿宋" w:hint="eastAsia"/>
          <w:color w:val="333333"/>
          <w:sz w:val="32"/>
          <w:szCs w:val="32"/>
          <w:shd w:val="clear" w:color="auto" w:fill="FFFFFF"/>
        </w:rPr>
        <w:t>个，涉及资金</w:t>
      </w:r>
      <w:r w:rsidR="00C46010">
        <w:rPr>
          <w:rFonts w:ascii="仿宋" w:eastAsia="仿宋" w:hAnsi="仿宋" w:cs="仿宋" w:hint="eastAsia"/>
          <w:color w:val="333333"/>
          <w:sz w:val="32"/>
          <w:szCs w:val="32"/>
          <w:shd w:val="clear" w:color="auto" w:fill="FFFFFF"/>
        </w:rPr>
        <w:t>476.45</w:t>
      </w:r>
      <w:r>
        <w:rPr>
          <w:rFonts w:ascii="仿宋" w:eastAsia="仿宋" w:hAnsi="仿宋" w:cs="仿宋" w:hint="eastAsia"/>
          <w:color w:val="333333"/>
          <w:sz w:val="32"/>
          <w:szCs w:val="32"/>
          <w:shd w:val="clear" w:color="auto" w:fill="FFFFFF"/>
        </w:rPr>
        <w:t>万元。</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黑体" w:eastAsia="黑体" w:hAnsi="宋体" w:cs="黑体" w:hint="eastAsia"/>
          <w:color w:val="333333"/>
          <w:sz w:val="32"/>
          <w:szCs w:val="32"/>
          <w:shd w:val="clear" w:color="auto" w:fill="FFFFFF"/>
        </w:rPr>
        <w:t>二、2020年“三公”经费预算情况说明</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lastRenderedPageBreak/>
        <w:t>2020年</w:t>
      </w:r>
      <w:r w:rsidR="00811530">
        <w:rPr>
          <w:rFonts w:ascii="仿宋" w:eastAsia="仿宋" w:hAnsi="仿宋" w:cs="仿宋" w:hint="eastAsia"/>
          <w:color w:val="333333"/>
          <w:sz w:val="32"/>
          <w:szCs w:val="32"/>
          <w:shd w:val="clear" w:color="auto" w:fill="FFFFFF"/>
        </w:rPr>
        <w:t>统计局</w:t>
      </w:r>
      <w:r>
        <w:rPr>
          <w:rFonts w:ascii="仿宋" w:eastAsia="仿宋" w:hAnsi="仿宋" w:cs="仿宋" w:hint="eastAsia"/>
          <w:color w:val="333333"/>
          <w:sz w:val="32"/>
          <w:szCs w:val="32"/>
          <w:shd w:val="clear" w:color="auto" w:fill="FFFFFF"/>
        </w:rPr>
        <w:t>“三公”经费年初预算安排</w:t>
      </w:r>
      <w:r w:rsidR="00C46010">
        <w:rPr>
          <w:rFonts w:ascii="仿宋" w:eastAsia="仿宋" w:hAnsi="仿宋" w:cs="仿宋" w:hint="eastAsia"/>
          <w:color w:val="333333"/>
          <w:sz w:val="32"/>
          <w:szCs w:val="32"/>
          <w:shd w:val="clear" w:color="auto" w:fill="FFFFFF"/>
        </w:rPr>
        <w:t>5</w:t>
      </w:r>
      <w:r>
        <w:rPr>
          <w:rFonts w:ascii="仿宋" w:eastAsia="仿宋" w:hAnsi="仿宋" w:cs="仿宋" w:hint="eastAsia"/>
          <w:color w:val="333333"/>
          <w:sz w:val="32"/>
          <w:szCs w:val="32"/>
          <w:shd w:val="clear" w:color="auto" w:fill="FFFFFF"/>
        </w:rPr>
        <w:t>万元。比上年增加</w:t>
      </w:r>
      <w:r w:rsidR="00C46010">
        <w:rPr>
          <w:rFonts w:ascii="仿宋" w:eastAsia="仿宋" w:hAnsi="仿宋" w:cs="仿宋" w:hint="eastAsia"/>
          <w:color w:val="333333"/>
          <w:sz w:val="32"/>
          <w:szCs w:val="32"/>
          <w:shd w:val="clear" w:color="auto" w:fill="FFFFFF"/>
        </w:rPr>
        <w:t>3</w:t>
      </w:r>
      <w:r>
        <w:rPr>
          <w:rFonts w:ascii="仿宋" w:eastAsia="仿宋" w:hAnsi="仿宋" w:cs="仿宋" w:hint="eastAsia"/>
          <w:color w:val="333333"/>
          <w:sz w:val="32"/>
          <w:szCs w:val="32"/>
          <w:shd w:val="clear" w:color="auto" w:fill="FFFFFF"/>
        </w:rPr>
        <w:t>万元，主要是</w:t>
      </w:r>
      <w:r w:rsidR="00C46010">
        <w:rPr>
          <w:rFonts w:ascii="仿宋" w:eastAsia="仿宋" w:hAnsi="仿宋" w:cs="仿宋" w:hint="eastAsia"/>
          <w:color w:val="333333"/>
          <w:sz w:val="32"/>
          <w:szCs w:val="32"/>
          <w:shd w:val="clear" w:color="auto" w:fill="FFFFFF"/>
        </w:rPr>
        <w:t>2020年进行第七次</w:t>
      </w:r>
      <w:r w:rsidR="00DA0D2B">
        <w:rPr>
          <w:rFonts w:ascii="仿宋" w:eastAsia="仿宋" w:hAnsi="仿宋" w:cs="仿宋" w:hint="eastAsia"/>
          <w:color w:val="333333"/>
          <w:sz w:val="32"/>
          <w:szCs w:val="32"/>
          <w:shd w:val="clear" w:color="auto" w:fill="FFFFFF"/>
        </w:rPr>
        <w:t>人口普查，往来学习交流增加接待支出增长</w:t>
      </w:r>
      <w:r>
        <w:rPr>
          <w:rFonts w:ascii="仿宋" w:eastAsia="仿宋" w:hAnsi="仿宋" w:cs="仿宋" w:hint="eastAsia"/>
          <w:color w:val="333333"/>
          <w:sz w:val="32"/>
          <w:szCs w:val="32"/>
          <w:shd w:val="clear" w:color="auto" w:fill="FFFFFF"/>
        </w:rPr>
        <w:t>，其中： </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 xml:space="preserve">1.因公出国（境）支出预算 </w:t>
      </w:r>
      <w:r w:rsidR="00DA0D2B">
        <w:rPr>
          <w:rFonts w:ascii="仿宋" w:eastAsia="仿宋" w:hAnsi="仿宋" w:cs="仿宋" w:hint="eastAsia"/>
          <w:color w:val="333333"/>
          <w:sz w:val="32"/>
          <w:szCs w:val="32"/>
          <w:shd w:val="clear" w:color="auto" w:fill="FFFFFF"/>
        </w:rPr>
        <w:t>0</w:t>
      </w:r>
      <w:r>
        <w:rPr>
          <w:rFonts w:ascii="仿宋" w:eastAsia="仿宋" w:hAnsi="仿宋" w:cs="仿宋" w:hint="eastAsia"/>
          <w:color w:val="333333"/>
          <w:sz w:val="32"/>
          <w:szCs w:val="32"/>
          <w:shd w:val="clear" w:color="auto" w:fill="FFFFFF"/>
        </w:rPr>
        <w:t>万元，与上年持平。</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2.公务接待费</w:t>
      </w:r>
      <w:r w:rsidR="00DA0D2B">
        <w:rPr>
          <w:rFonts w:ascii="仿宋" w:eastAsia="仿宋" w:hAnsi="仿宋" w:cs="仿宋" w:hint="eastAsia"/>
          <w:color w:val="333333"/>
          <w:sz w:val="32"/>
          <w:szCs w:val="32"/>
          <w:shd w:val="clear" w:color="auto" w:fill="FFFFFF"/>
        </w:rPr>
        <w:t>5</w:t>
      </w:r>
      <w:r>
        <w:rPr>
          <w:rFonts w:ascii="仿宋" w:eastAsia="仿宋" w:hAnsi="仿宋" w:cs="仿宋" w:hint="eastAsia"/>
          <w:color w:val="333333"/>
          <w:sz w:val="32"/>
          <w:szCs w:val="32"/>
          <w:shd w:val="clear" w:color="auto" w:fill="FFFFFF"/>
        </w:rPr>
        <w:t>万元，比上年</w:t>
      </w:r>
      <w:r w:rsidR="00DA0D2B">
        <w:rPr>
          <w:rFonts w:ascii="仿宋" w:eastAsia="仿宋" w:hAnsi="仿宋" w:cs="仿宋" w:hint="eastAsia"/>
          <w:color w:val="333333"/>
          <w:sz w:val="32"/>
          <w:szCs w:val="32"/>
          <w:shd w:val="clear" w:color="auto" w:fill="FFFFFF"/>
        </w:rPr>
        <w:t>增加3</w:t>
      </w:r>
      <w:r>
        <w:rPr>
          <w:rFonts w:ascii="仿宋" w:eastAsia="仿宋" w:hAnsi="仿宋" w:cs="仿宋" w:hint="eastAsia"/>
          <w:color w:val="333333"/>
          <w:sz w:val="32"/>
          <w:szCs w:val="32"/>
          <w:shd w:val="clear" w:color="auto" w:fill="FFFFFF"/>
        </w:rPr>
        <w:t>万元，</w:t>
      </w:r>
      <w:r w:rsidR="00DA0D2B">
        <w:rPr>
          <w:rFonts w:ascii="仿宋" w:eastAsia="仿宋" w:hAnsi="仿宋" w:cs="仿宋" w:hint="eastAsia"/>
          <w:color w:val="333333"/>
          <w:sz w:val="32"/>
          <w:szCs w:val="32"/>
          <w:shd w:val="clear" w:color="auto" w:fill="FFFFFF"/>
        </w:rPr>
        <w:t>增长150</w:t>
      </w:r>
      <w:r>
        <w:rPr>
          <w:rFonts w:ascii="仿宋" w:eastAsia="仿宋" w:hAnsi="仿宋" w:cs="仿宋" w:hint="eastAsia"/>
          <w:color w:val="333333"/>
          <w:sz w:val="32"/>
          <w:szCs w:val="32"/>
          <w:shd w:val="clear" w:color="auto" w:fill="FFFFFF"/>
        </w:rPr>
        <w:t xml:space="preserve"> %，主要原因是：</w:t>
      </w:r>
      <w:r w:rsidR="00DA0D2B">
        <w:rPr>
          <w:rFonts w:ascii="仿宋" w:eastAsia="仿宋" w:hAnsi="仿宋" w:cs="仿宋" w:hint="eastAsia"/>
          <w:color w:val="333333"/>
          <w:sz w:val="32"/>
          <w:szCs w:val="32"/>
          <w:shd w:val="clear" w:color="auto" w:fill="FFFFFF"/>
        </w:rPr>
        <w:t>主要是2020年进行第七次人口普查，往来学习交流增加接待支出增长</w:t>
      </w:r>
      <w:r>
        <w:rPr>
          <w:rFonts w:ascii="仿宋" w:eastAsia="仿宋" w:hAnsi="仿宋" w:cs="仿宋" w:hint="eastAsia"/>
          <w:color w:val="333333"/>
          <w:sz w:val="32"/>
          <w:szCs w:val="32"/>
          <w:shd w:val="clear" w:color="auto" w:fill="FFFFFF"/>
        </w:rPr>
        <w:t>。</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 xml:space="preserve">3.公务用车购置及运行维护费 </w:t>
      </w:r>
      <w:r w:rsidR="00DA0D2B">
        <w:rPr>
          <w:rFonts w:ascii="仿宋" w:eastAsia="仿宋" w:hAnsi="仿宋" w:cs="仿宋" w:hint="eastAsia"/>
          <w:color w:val="333333"/>
          <w:sz w:val="32"/>
          <w:szCs w:val="32"/>
          <w:shd w:val="clear" w:color="auto" w:fill="FFFFFF"/>
        </w:rPr>
        <w:t>0</w:t>
      </w:r>
      <w:r>
        <w:rPr>
          <w:rFonts w:ascii="仿宋" w:eastAsia="仿宋" w:hAnsi="仿宋" w:cs="仿宋" w:hint="eastAsia"/>
          <w:color w:val="333333"/>
          <w:sz w:val="32"/>
          <w:szCs w:val="32"/>
          <w:shd w:val="clear" w:color="auto" w:fill="FFFFFF"/>
        </w:rPr>
        <w:t>万元，</w:t>
      </w:r>
      <w:r w:rsidR="00DA0D2B">
        <w:rPr>
          <w:rFonts w:ascii="仿宋" w:eastAsia="仿宋" w:hAnsi="仿宋" w:cs="仿宋" w:hint="eastAsia"/>
          <w:color w:val="333333"/>
          <w:sz w:val="32"/>
          <w:szCs w:val="32"/>
          <w:shd w:val="clear" w:color="auto" w:fill="FFFFFF"/>
        </w:rPr>
        <w:t>与上年持平。</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 </w:t>
      </w:r>
    </w:p>
    <w:p w:rsidR="00DA0D2B" w:rsidRDefault="00432631">
      <w:pPr>
        <w:pStyle w:val="a5"/>
        <w:widowControl/>
        <w:shd w:val="clear" w:color="auto" w:fill="FFFFFF"/>
        <w:spacing w:beforeAutospacing="0" w:afterAutospacing="0" w:line="560" w:lineRule="atLeast"/>
        <w:jc w:val="center"/>
        <w:rPr>
          <w:rFonts w:ascii="宋体" w:hAnsi="宋体" w:cs="宋体"/>
          <w:color w:val="333333"/>
          <w:sz w:val="44"/>
          <w:szCs w:val="44"/>
          <w:shd w:val="clear" w:color="auto" w:fill="FFFFFF"/>
        </w:rPr>
      </w:pPr>
      <w:r>
        <w:rPr>
          <w:rFonts w:ascii="宋体" w:hAnsi="宋体" w:cs="宋体" w:hint="eastAsia"/>
          <w:color w:val="333333"/>
          <w:sz w:val="44"/>
          <w:szCs w:val="44"/>
          <w:shd w:val="clear" w:color="auto" w:fill="FFFFFF"/>
        </w:rPr>
        <w:t>第三部分 赣州市</w:t>
      </w:r>
      <w:r w:rsidR="00DA0D2B">
        <w:rPr>
          <w:rFonts w:ascii="宋体" w:hAnsi="宋体" w:cs="宋体" w:hint="eastAsia"/>
          <w:color w:val="333333"/>
          <w:sz w:val="44"/>
          <w:szCs w:val="44"/>
          <w:shd w:val="clear" w:color="auto" w:fill="FFFFFF"/>
        </w:rPr>
        <w:t>赣县区</w:t>
      </w:r>
      <w:r w:rsidR="00394A4E">
        <w:rPr>
          <w:rFonts w:ascii="宋体" w:hAnsi="宋体" w:cs="宋体" w:hint="eastAsia"/>
          <w:color w:val="333333"/>
          <w:sz w:val="44"/>
          <w:szCs w:val="44"/>
          <w:shd w:val="clear" w:color="auto" w:fill="FFFFFF"/>
        </w:rPr>
        <w:t>统计局</w:t>
      </w:r>
      <w:r>
        <w:rPr>
          <w:rFonts w:ascii="宋体" w:hAnsi="宋体" w:cs="宋体" w:hint="eastAsia"/>
          <w:color w:val="333333"/>
          <w:sz w:val="44"/>
          <w:szCs w:val="44"/>
          <w:shd w:val="clear" w:color="auto" w:fill="FFFFFF"/>
        </w:rPr>
        <w:t>20</w:t>
      </w:r>
      <w:r w:rsidR="00DA0D2B">
        <w:rPr>
          <w:rFonts w:ascii="宋体" w:hAnsi="宋体" w:cs="宋体" w:hint="eastAsia"/>
          <w:color w:val="333333"/>
          <w:sz w:val="44"/>
          <w:szCs w:val="44"/>
          <w:shd w:val="clear" w:color="auto" w:fill="FFFFFF"/>
        </w:rPr>
        <w:t>20</w:t>
      </w:r>
      <w:r>
        <w:rPr>
          <w:rFonts w:ascii="宋体" w:hAnsi="宋体" w:cs="宋体" w:hint="eastAsia"/>
          <w:color w:val="333333"/>
          <w:sz w:val="44"/>
          <w:szCs w:val="44"/>
          <w:shd w:val="clear" w:color="auto" w:fill="FFFFFF"/>
        </w:rPr>
        <w:t>年</w:t>
      </w:r>
    </w:p>
    <w:p w:rsidR="00F4219B" w:rsidRDefault="00432631">
      <w:pPr>
        <w:pStyle w:val="a5"/>
        <w:widowControl/>
        <w:shd w:val="clear" w:color="auto" w:fill="FFFFFF"/>
        <w:spacing w:beforeAutospacing="0" w:afterAutospacing="0" w:line="560" w:lineRule="atLeast"/>
        <w:jc w:val="center"/>
        <w:rPr>
          <w:rFonts w:ascii="Calibri" w:hAnsi="Calibri" w:cs="Calibri"/>
          <w:color w:val="333333"/>
          <w:sz w:val="21"/>
          <w:szCs w:val="21"/>
        </w:rPr>
      </w:pPr>
      <w:r>
        <w:rPr>
          <w:rFonts w:ascii="宋体" w:hAnsi="宋体" w:cs="宋体" w:hint="eastAsia"/>
          <w:color w:val="333333"/>
          <w:sz w:val="44"/>
          <w:szCs w:val="44"/>
          <w:shd w:val="clear" w:color="auto" w:fill="FFFFFF"/>
        </w:rPr>
        <w:t>部门预算表</w:t>
      </w:r>
    </w:p>
    <w:p w:rsidR="00F4219B" w:rsidRDefault="00432631">
      <w:pPr>
        <w:pStyle w:val="a5"/>
        <w:widowControl/>
        <w:shd w:val="clear" w:color="auto" w:fill="FFFFFF"/>
        <w:spacing w:beforeAutospacing="0" w:afterAutospacing="0" w:line="560" w:lineRule="atLeast"/>
        <w:jc w:val="center"/>
        <w:rPr>
          <w:rFonts w:ascii="Calibri" w:hAnsi="Calibri" w:cs="Calibri"/>
          <w:color w:val="333333"/>
          <w:sz w:val="21"/>
          <w:szCs w:val="21"/>
        </w:rPr>
      </w:pPr>
      <w:r>
        <w:rPr>
          <w:rFonts w:ascii="宋体" w:hAnsi="宋体" w:cs="宋体" w:hint="eastAsia"/>
          <w:color w:val="333333"/>
          <w:sz w:val="44"/>
          <w:szCs w:val="44"/>
          <w:shd w:val="clear" w:color="auto" w:fill="FFFFFF"/>
        </w:rPr>
        <w:t> </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九张表（详见附表）</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 </w:t>
      </w:r>
    </w:p>
    <w:p w:rsidR="00F4219B" w:rsidRDefault="00432631">
      <w:pPr>
        <w:pStyle w:val="a5"/>
        <w:widowControl/>
        <w:shd w:val="clear" w:color="auto" w:fill="FFFFFF"/>
        <w:spacing w:beforeAutospacing="0" w:afterAutospacing="0" w:line="560" w:lineRule="atLeast"/>
        <w:ind w:firstLine="880"/>
        <w:jc w:val="center"/>
        <w:rPr>
          <w:rFonts w:ascii="Calibri" w:hAnsi="Calibri" w:cs="Calibri"/>
          <w:color w:val="333333"/>
          <w:sz w:val="21"/>
          <w:szCs w:val="21"/>
        </w:rPr>
      </w:pPr>
      <w:r>
        <w:rPr>
          <w:rFonts w:ascii="宋体" w:hAnsi="宋体" w:cs="宋体" w:hint="eastAsia"/>
          <w:color w:val="333333"/>
          <w:sz w:val="44"/>
          <w:szCs w:val="44"/>
          <w:shd w:val="clear" w:color="auto" w:fill="FFFFFF"/>
        </w:rPr>
        <w:t>第四部分  名词解释</w:t>
      </w:r>
    </w:p>
    <w:p w:rsidR="00F4219B" w:rsidRDefault="00432631">
      <w:pPr>
        <w:pStyle w:val="a5"/>
        <w:widowControl/>
        <w:shd w:val="clear" w:color="auto" w:fill="FFFFFF"/>
        <w:spacing w:beforeAutospacing="0" w:afterAutospacing="0" w:line="560" w:lineRule="atLeast"/>
        <w:ind w:firstLine="880"/>
        <w:jc w:val="center"/>
        <w:rPr>
          <w:rFonts w:ascii="Calibri" w:hAnsi="Calibri" w:cs="Calibri"/>
          <w:color w:val="333333"/>
          <w:sz w:val="21"/>
          <w:szCs w:val="21"/>
        </w:rPr>
      </w:pPr>
      <w:r>
        <w:rPr>
          <w:rFonts w:ascii="宋体" w:hAnsi="宋体" w:cs="宋体" w:hint="eastAsia"/>
          <w:color w:val="333333"/>
          <w:sz w:val="44"/>
          <w:szCs w:val="44"/>
          <w:shd w:val="clear" w:color="auto" w:fill="FFFFFF"/>
        </w:rPr>
        <w:t> </w:t>
      </w:r>
    </w:p>
    <w:p w:rsidR="00DA0D2B" w:rsidRDefault="00432631">
      <w:pPr>
        <w:pStyle w:val="a5"/>
        <w:widowControl/>
        <w:shd w:val="clear" w:color="auto" w:fill="FFFFFF"/>
        <w:spacing w:beforeAutospacing="0" w:afterAutospacing="0" w:line="560" w:lineRule="atLeast"/>
        <w:ind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 </w:t>
      </w:r>
    </w:p>
    <w:p w:rsidR="00DA0D2B" w:rsidRPr="002A2065" w:rsidRDefault="00DA0D2B" w:rsidP="00DA0D2B">
      <w:pPr>
        <w:autoSpaceDE w:val="0"/>
        <w:autoSpaceDN w:val="0"/>
        <w:adjustRightInd w:val="0"/>
        <w:spacing w:line="560" w:lineRule="exact"/>
        <w:ind w:firstLine="640"/>
        <w:jc w:val="left"/>
        <w:rPr>
          <w:rFonts w:ascii="宋体" w:hAnsi="宋体" w:cs="仿宋"/>
          <w:kern w:val="0"/>
          <w:sz w:val="28"/>
          <w:szCs w:val="32"/>
        </w:rPr>
      </w:pPr>
      <w:r>
        <w:rPr>
          <w:rFonts w:ascii="仿宋" w:eastAsia="仿宋" w:hAnsi="仿宋" w:cs="仿宋" w:hint="eastAsia"/>
          <w:color w:val="333333"/>
          <w:sz w:val="32"/>
          <w:szCs w:val="32"/>
          <w:shd w:val="clear" w:color="auto" w:fill="FFFFFF"/>
        </w:rPr>
        <w:t>(一)</w:t>
      </w:r>
      <w:r w:rsidRPr="00DA0D2B">
        <w:rPr>
          <w:rFonts w:ascii="仿宋" w:eastAsia="仿宋" w:hAnsi="仿宋" w:cs="仿宋" w:hint="eastAsia"/>
          <w:color w:val="333333"/>
          <w:kern w:val="0"/>
          <w:sz w:val="32"/>
          <w:szCs w:val="32"/>
          <w:shd w:val="clear" w:color="auto" w:fill="FFFFFF"/>
        </w:rPr>
        <w:t>财政拨款收入：</w:t>
      </w:r>
      <w:r w:rsidRPr="00DA0D2B">
        <w:rPr>
          <w:rFonts w:ascii="仿宋" w:eastAsia="仿宋" w:hAnsi="仿宋" w:cs="仿宋"/>
          <w:color w:val="333333"/>
          <w:kern w:val="0"/>
          <w:sz w:val="32"/>
          <w:szCs w:val="32"/>
          <w:shd w:val="clear" w:color="auto" w:fill="FFFFFF"/>
        </w:rPr>
        <w:t>指单位本年度从</w:t>
      </w:r>
      <w:r w:rsidRPr="00DA0D2B">
        <w:rPr>
          <w:rFonts w:ascii="仿宋" w:eastAsia="仿宋" w:hAnsi="仿宋" w:cs="仿宋" w:hint="eastAsia"/>
          <w:color w:val="333333"/>
          <w:kern w:val="0"/>
          <w:sz w:val="32"/>
          <w:szCs w:val="32"/>
          <w:shd w:val="clear" w:color="auto" w:fill="FFFFFF"/>
        </w:rPr>
        <w:t>本</w:t>
      </w:r>
      <w:r w:rsidRPr="00DA0D2B">
        <w:rPr>
          <w:rFonts w:ascii="仿宋" w:eastAsia="仿宋" w:hAnsi="仿宋" w:cs="仿宋"/>
          <w:color w:val="333333"/>
          <w:kern w:val="0"/>
          <w:sz w:val="32"/>
          <w:szCs w:val="32"/>
          <w:shd w:val="clear" w:color="auto" w:fill="FFFFFF"/>
        </w:rPr>
        <w:t>级财政部门取得的财政拨款</w:t>
      </w:r>
      <w:r w:rsidRPr="00DA0D2B">
        <w:rPr>
          <w:rFonts w:ascii="仿宋" w:eastAsia="仿宋" w:hAnsi="仿宋" w:cs="仿宋" w:hint="eastAsia"/>
          <w:color w:val="333333"/>
          <w:kern w:val="0"/>
          <w:sz w:val="32"/>
          <w:szCs w:val="32"/>
          <w:shd w:val="clear" w:color="auto" w:fill="FFFFFF"/>
        </w:rPr>
        <w:t>，包括一般公共预算财政拨款和政府性基金预算财政拨款。</w:t>
      </w:r>
    </w:p>
    <w:p w:rsidR="00DA0D2B" w:rsidRDefault="00432631" w:rsidP="00DA0D2B">
      <w:pPr>
        <w:pStyle w:val="a5"/>
        <w:widowControl/>
        <w:shd w:val="clear" w:color="auto" w:fill="FFFFFF"/>
        <w:spacing w:beforeAutospacing="0" w:afterAutospacing="0" w:line="560" w:lineRule="atLeast"/>
        <w:ind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w:t>
      </w:r>
      <w:r w:rsidR="00DA0D2B">
        <w:rPr>
          <w:rFonts w:ascii="仿宋" w:eastAsia="仿宋" w:hAnsi="仿宋" w:cs="仿宋" w:hint="eastAsia"/>
          <w:color w:val="333333"/>
          <w:sz w:val="32"/>
          <w:szCs w:val="32"/>
          <w:shd w:val="clear" w:color="auto" w:fill="FFFFFF"/>
        </w:rPr>
        <w:t>二</w:t>
      </w:r>
      <w:r>
        <w:rPr>
          <w:rFonts w:ascii="仿宋" w:eastAsia="仿宋" w:hAnsi="仿宋" w:cs="仿宋" w:hint="eastAsia"/>
          <w:color w:val="333333"/>
          <w:sz w:val="32"/>
          <w:szCs w:val="32"/>
          <w:shd w:val="clear" w:color="auto" w:fill="FFFFFF"/>
        </w:rPr>
        <w:t>)上年结转：指以前年度尚未完成、结转到本年仍按原规定用途继续使用的资金。</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lastRenderedPageBreak/>
        <w:t>(</w:t>
      </w:r>
      <w:r w:rsidR="00DA0D2B">
        <w:rPr>
          <w:rFonts w:ascii="仿宋" w:eastAsia="仿宋" w:hAnsi="仿宋" w:cs="仿宋" w:hint="eastAsia"/>
          <w:color w:val="333333"/>
          <w:sz w:val="32"/>
          <w:szCs w:val="32"/>
          <w:shd w:val="clear" w:color="auto" w:fill="FFFFFF"/>
        </w:rPr>
        <w:t>三</w:t>
      </w:r>
      <w:r>
        <w:rPr>
          <w:rFonts w:ascii="仿宋" w:eastAsia="仿宋" w:hAnsi="仿宋" w:cs="仿宋" w:hint="eastAsia"/>
          <w:color w:val="333333"/>
          <w:sz w:val="32"/>
          <w:szCs w:val="32"/>
          <w:shd w:val="clear" w:color="auto" w:fill="FFFFFF"/>
        </w:rPr>
        <w:t>)结转下年：指以前年度预算安排、因客观条件发生变化无法按原计划实施，需延迟到以后年度按原规定用途继续使用的资金。</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w:t>
      </w:r>
      <w:r w:rsidR="00DA0D2B">
        <w:rPr>
          <w:rFonts w:ascii="仿宋" w:eastAsia="仿宋" w:hAnsi="仿宋" w:cs="仿宋" w:hint="eastAsia"/>
          <w:color w:val="333333"/>
          <w:sz w:val="32"/>
          <w:szCs w:val="32"/>
          <w:shd w:val="clear" w:color="auto" w:fill="FFFFFF"/>
        </w:rPr>
        <w:t>四</w:t>
      </w:r>
      <w:r>
        <w:rPr>
          <w:rFonts w:ascii="仿宋" w:eastAsia="仿宋" w:hAnsi="仿宋" w:cs="仿宋" w:hint="eastAsia"/>
          <w:color w:val="333333"/>
          <w:sz w:val="32"/>
          <w:szCs w:val="32"/>
          <w:shd w:val="clear" w:color="auto" w:fill="FFFFFF"/>
        </w:rPr>
        <w:t>)基本支出：指为保障机构正常运转、完成日常工作任务而发生的人员支出和公用支出。</w:t>
      </w:r>
    </w:p>
    <w:p w:rsidR="00F4219B" w:rsidRDefault="00432631">
      <w:pPr>
        <w:pStyle w:val="a5"/>
        <w:widowControl/>
        <w:shd w:val="clear" w:color="auto" w:fill="FFFFFF"/>
        <w:spacing w:beforeAutospacing="0" w:afterAutospacing="0" w:line="560" w:lineRule="atLeast"/>
        <w:ind w:firstLine="640"/>
        <w:jc w:val="both"/>
        <w:rPr>
          <w:rFonts w:ascii="Calibri" w:hAnsi="Calibri" w:cs="Calibri"/>
          <w:color w:val="333333"/>
          <w:sz w:val="21"/>
          <w:szCs w:val="21"/>
        </w:rPr>
      </w:pPr>
      <w:r>
        <w:rPr>
          <w:rFonts w:ascii="仿宋" w:eastAsia="仿宋" w:hAnsi="仿宋" w:cs="仿宋" w:hint="eastAsia"/>
          <w:color w:val="333333"/>
          <w:sz w:val="32"/>
          <w:szCs w:val="32"/>
          <w:shd w:val="clear" w:color="auto" w:fill="FFFFFF"/>
        </w:rPr>
        <w:t>(</w:t>
      </w:r>
      <w:r w:rsidR="00DA0D2B">
        <w:rPr>
          <w:rFonts w:ascii="仿宋" w:eastAsia="仿宋" w:hAnsi="仿宋" w:cs="仿宋" w:hint="eastAsia"/>
          <w:color w:val="333333"/>
          <w:sz w:val="32"/>
          <w:szCs w:val="32"/>
          <w:shd w:val="clear" w:color="auto" w:fill="FFFFFF"/>
        </w:rPr>
        <w:t>五</w:t>
      </w:r>
      <w:r>
        <w:rPr>
          <w:rFonts w:ascii="仿宋" w:eastAsia="仿宋" w:hAnsi="仿宋" w:cs="仿宋" w:hint="eastAsia"/>
          <w:color w:val="333333"/>
          <w:sz w:val="32"/>
          <w:szCs w:val="32"/>
          <w:shd w:val="clear" w:color="auto" w:fill="FFFFFF"/>
        </w:rPr>
        <w:t>)项目支出：指在基本支出之外为完成特定行政任务和事业发展目标所发生的支出。</w:t>
      </w:r>
    </w:p>
    <w:p w:rsidR="00F4219B" w:rsidRDefault="00432631">
      <w:pPr>
        <w:pStyle w:val="a5"/>
        <w:widowControl/>
        <w:shd w:val="clear" w:color="auto" w:fill="FFFFFF"/>
        <w:spacing w:beforeAutospacing="0" w:afterAutospacing="0" w:line="560" w:lineRule="atLeast"/>
        <w:ind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w:t>
      </w:r>
      <w:r w:rsidR="00DA0D2B">
        <w:rPr>
          <w:rFonts w:ascii="仿宋" w:eastAsia="仿宋" w:hAnsi="仿宋" w:cs="仿宋" w:hint="eastAsia"/>
          <w:color w:val="333333"/>
          <w:sz w:val="32"/>
          <w:szCs w:val="32"/>
          <w:shd w:val="clear" w:color="auto" w:fill="FFFFFF"/>
        </w:rPr>
        <w:t>六</w:t>
      </w:r>
      <w:r>
        <w:rPr>
          <w:rFonts w:ascii="仿宋" w:eastAsia="仿宋" w:hAnsi="仿宋" w:cs="仿宋" w:hint="eastAsia"/>
          <w:color w:val="333333"/>
          <w:sz w:val="32"/>
          <w:szCs w:val="32"/>
          <w:shd w:val="clear" w:color="auto" w:fill="FFFFFF"/>
        </w:rPr>
        <w:t>)“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DA0D2B" w:rsidRPr="00DA0D2B" w:rsidRDefault="00DA0D2B" w:rsidP="00DA0D2B">
      <w:pPr>
        <w:autoSpaceDE w:val="0"/>
        <w:autoSpaceDN w:val="0"/>
        <w:adjustRightInd w:val="0"/>
        <w:spacing w:line="560" w:lineRule="exact"/>
        <w:ind w:firstLine="640"/>
        <w:jc w:val="left"/>
        <w:rPr>
          <w:rFonts w:ascii="仿宋" w:eastAsia="仿宋" w:hAnsi="仿宋" w:cs="仿宋"/>
          <w:color w:val="333333"/>
          <w:kern w:val="0"/>
          <w:sz w:val="32"/>
          <w:szCs w:val="32"/>
          <w:shd w:val="clear" w:color="auto" w:fill="FFFFFF"/>
        </w:rPr>
      </w:pPr>
      <w:r>
        <w:rPr>
          <w:rFonts w:ascii="仿宋" w:eastAsia="仿宋" w:hAnsi="仿宋" w:cs="仿宋" w:hint="eastAsia"/>
          <w:color w:val="333333"/>
          <w:sz w:val="32"/>
          <w:szCs w:val="32"/>
          <w:shd w:val="clear" w:color="auto" w:fill="FFFFFF"/>
        </w:rPr>
        <w:t>(七)</w:t>
      </w:r>
      <w:r w:rsidRPr="002A2065">
        <w:rPr>
          <w:rFonts w:ascii="宋体" w:hAnsi="宋体" w:cs="仿宋"/>
          <w:kern w:val="0"/>
          <w:sz w:val="28"/>
          <w:szCs w:val="32"/>
        </w:rPr>
        <w:t>、</w:t>
      </w:r>
      <w:r w:rsidRPr="00DA0D2B">
        <w:rPr>
          <w:rFonts w:ascii="仿宋" w:eastAsia="仿宋" w:hAnsi="仿宋" w:cs="仿宋"/>
          <w:color w:val="333333"/>
          <w:kern w:val="0"/>
          <w:sz w:val="32"/>
          <w:szCs w:val="32"/>
          <w:shd w:val="clear" w:color="auto" w:fill="FFFFFF"/>
        </w:rPr>
        <w:t>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机关运行经费”暂指一般公共预算安排的基本支出中的“商品和服务支出”经费。</w:t>
      </w:r>
    </w:p>
    <w:p w:rsidR="00DA0D2B" w:rsidRPr="00DA0D2B" w:rsidRDefault="00DA0D2B">
      <w:pPr>
        <w:pStyle w:val="a5"/>
        <w:widowControl/>
        <w:shd w:val="clear" w:color="auto" w:fill="FFFFFF"/>
        <w:spacing w:beforeAutospacing="0" w:afterAutospacing="0" w:line="560" w:lineRule="atLeast"/>
        <w:ind w:firstLine="640"/>
        <w:jc w:val="both"/>
        <w:rPr>
          <w:rFonts w:ascii="仿宋" w:eastAsia="仿宋" w:hAnsi="仿宋" w:cs="仿宋"/>
          <w:color w:val="333333"/>
          <w:sz w:val="32"/>
          <w:szCs w:val="32"/>
          <w:shd w:val="clear" w:color="auto" w:fill="FFFFFF"/>
        </w:rPr>
      </w:pPr>
    </w:p>
    <w:p w:rsidR="00162C18" w:rsidRPr="00162C18" w:rsidRDefault="00162C18" w:rsidP="00162C18">
      <w:pPr>
        <w:widowControl/>
        <w:jc w:val="left"/>
        <w:rPr>
          <w:rFonts w:ascii="宋体" w:hAnsi="宋体" w:cs="宋体"/>
          <w:kern w:val="0"/>
          <w:sz w:val="24"/>
        </w:rPr>
      </w:pPr>
      <w:bookmarkStart w:id="0" w:name="_GoBack"/>
      <w:bookmarkEnd w:id="0"/>
      <w:r>
        <w:rPr>
          <w:rFonts w:ascii="宋体" w:hAnsi="宋体" w:cs="宋体"/>
          <w:noProof/>
          <w:kern w:val="0"/>
          <w:sz w:val="24"/>
        </w:rPr>
        <w:lastRenderedPageBreak/>
        <w:drawing>
          <wp:inline distT="0" distB="0" distL="0" distR="0">
            <wp:extent cx="5463445" cy="6512943"/>
            <wp:effectExtent l="19050" t="0" r="3905" b="0"/>
            <wp:docPr id="1" name="图片 1" descr="C:\Users\admin\AppData\Roaming\Tencent\Users\471687082\QQ\WinTemp\RichOle\O7I~SGX{QSU~N0O)AQYIA1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Roaming\Tencent\Users\471687082\QQ\WinTemp\RichOle\O7I~SGX{QSU~N0O)AQYIA1R.png"/>
                    <pic:cNvPicPr>
                      <a:picLocks noChangeAspect="1" noChangeArrowheads="1"/>
                    </pic:cNvPicPr>
                  </pic:nvPicPr>
                  <pic:blipFill>
                    <a:blip r:embed="rId8"/>
                    <a:srcRect/>
                    <a:stretch>
                      <a:fillRect/>
                    </a:stretch>
                  </pic:blipFill>
                  <pic:spPr bwMode="auto">
                    <a:xfrm>
                      <a:off x="0" y="0"/>
                      <a:ext cx="5463107" cy="6512541"/>
                    </a:xfrm>
                    <a:prstGeom prst="rect">
                      <a:avLst/>
                    </a:prstGeom>
                    <a:noFill/>
                    <a:ln w="9525">
                      <a:noFill/>
                      <a:miter lim="800000"/>
                      <a:headEnd/>
                      <a:tailEnd/>
                    </a:ln>
                  </pic:spPr>
                </pic:pic>
              </a:graphicData>
            </a:graphic>
          </wp:inline>
        </w:drawing>
      </w:r>
    </w:p>
    <w:p w:rsidR="00162C18" w:rsidRPr="00162C18" w:rsidRDefault="00162C18" w:rsidP="00162C18">
      <w:pPr>
        <w:widowControl/>
        <w:jc w:val="left"/>
        <w:rPr>
          <w:rFonts w:ascii="宋体" w:hAnsi="宋体" w:cs="宋体"/>
          <w:kern w:val="0"/>
          <w:sz w:val="24"/>
        </w:rPr>
      </w:pPr>
      <w:r>
        <w:rPr>
          <w:rFonts w:ascii="宋体" w:hAnsi="宋体" w:cs="宋体"/>
          <w:noProof/>
          <w:kern w:val="0"/>
          <w:sz w:val="24"/>
        </w:rPr>
        <w:lastRenderedPageBreak/>
        <w:drawing>
          <wp:inline distT="0" distB="0" distL="0" distR="0">
            <wp:extent cx="5286195" cy="3769744"/>
            <wp:effectExtent l="19050" t="0" r="0" b="0"/>
            <wp:docPr id="3" name="图片 3" descr="C:\Users\admin\AppData\Roaming\Tencent\Users\471687082\QQ\WinTemp\RichOle\39[6H001TC`$WZT)G~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Roaming\Tencent\Users\471687082\QQ\WinTemp\RichOle\39[6H001TC`$WZT)G~3%%{F.png"/>
                    <pic:cNvPicPr>
                      <a:picLocks noChangeAspect="1" noChangeArrowheads="1"/>
                    </pic:cNvPicPr>
                  </pic:nvPicPr>
                  <pic:blipFill>
                    <a:blip r:embed="rId9"/>
                    <a:srcRect/>
                    <a:stretch>
                      <a:fillRect/>
                    </a:stretch>
                  </pic:blipFill>
                  <pic:spPr bwMode="auto">
                    <a:xfrm>
                      <a:off x="0" y="0"/>
                      <a:ext cx="5300877" cy="3780214"/>
                    </a:xfrm>
                    <a:prstGeom prst="rect">
                      <a:avLst/>
                    </a:prstGeom>
                    <a:noFill/>
                    <a:ln w="9525">
                      <a:noFill/>
                      <a:miter lim="800000"/>
                      <a:headEnd/>
                      <a:tailEnd/>
                    </a:ln>
                  </pic:spPr>
                </pic:pic>
              </a:graphicData>
            </a:graphic>
          </wp:inline>
        </w:drawing>
      </w:r>
    </w:p>
    <w:p w:rsidR="00CF55C7" w:rsidRPr="00CF55C7" w:rsidRDefault="00CF55C7" w:rsidP="00CF55C7">
      <w:pPr>
        <w:widowControl/>
        <w:jc w:val="left"/>
        <w:rPr>
          <w:rFonts w:ascii="宋体" w:hAnsi="宋体" w:cs="宋体"/>
          <w:kern w:val="0"/>
          <w:sz w:val="24"/>
        </w:rPr>
      </w:pPr>
      <w:r>
        <w:rPr>
          <w:rFonts w:ascii="宋体" w:hAnsi="宋体" w:cs="宋体"/>
          <w:noProof/>
          <w:kern w:val="0"/>
          <w:sz w:val="24"/>
        </w:rPr>
        <w:drawing>
          <wp:inline distT="0" distB="0" distL="0" distR="0">
            <wp:extent cx="5286195" cy="4045788"/>
            <wp:effectExtent l="19050" t="0" r="0" b="0"/>
            <wp:docPr id="5" name="图片 5" descr="C:\Users\admin\AppData\Roaming\Tencent\Users\471687082\QQ\WinTemp\RichOle\17[M2Q`Y11A~FWCB`G}W]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Roaming\Tencent\Users\471687082\QQ\WinTemp\RichOle\17[M2Q`Y11A~FWCB`G}W]L1.png"/>
                    <pic:cNvPicPr>
                      <a:picLocks noChangeAspect="1" noChangeArrowheads="1"/>
                    </pic:cNvPicPr>
                  </pic:nvPicPr>
                  <pic:blipFill>
                    <a:blip r:embed="rId10"/>
                    <a:srcRect/>
                    <a:stretch>
                      <a:fillRect/>
                    </a:stretch>
                  </pic:blipFill>
                  <pic:spPr bwMode="auto">
                    <a:xfrm>
                      <a:off x="0" y="0"/>
                      <a:ext cx="5289766" cy="4048521"/>
                    </a:xfrm>
                    <a:prstGeom prst="rect">
                      <a:avLst/>
                    </a:prstGeom>
                    <a:noFill/>
                    <a:ln w="9525">
                      <a:noFill/>
                      <a:miter lim="800000"/>
                      <a:headEnd/>
                      <a:tailEnd/>
                    </a:ln>
                  </pic:spPr>
                </pic:pic>
              </a:graphicData>
            </a:graphic>
          </wp:inline>
        </w:drawing>
      </w:r>
    </w:p>
    <w:p w:rsidR="00CF55C7" w:rsidRPr="00CF55C7" w:rsidRDefault="00CF55C7" w:rsidP="00CF55C7">
      <w:pPr>
        <w:widowControl/>
        <w:jc w:val="left"/>
        <w:rPr>
          <w:rFonts w:ascii="宋体" w:hAnsi="宋体" w:cs="宋体"/>
          <w:kern w:val="0"/>
          <w:sz w:val="24"/>
        </w:rPr>
      </w:pPr>
      <w:r>
        <w:rPr>
          <w:rFonts w:ascii="宋体" w:hAnsi="宋体" w:cs="宋体"/>
          <w:noProof/>
          <w:kern w:val="0"/>
          <w:sz w:val="24"/>
        </w:rPr>
        <w:lastRenderedPageBreak/>
        <w:drawing>
          <wp:inline distT="0" distB="0" distL="0" distR="0">
            <wp:extent cx="5286195" cy="3398808"/>
            <wp:effectExtent l="19050" t="0" r="0" b="0"/>
            <wp:docPr id="9" name="图片 9" descr="C:\Users\admin\AppData\Roaming\Tencent\Users\471687082\QQ\WinTemp\RichOle\USO[0]X8)TW29YR3Z3H6@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Roaming\Tencent\Users\471687082\QQ\WinTemp\RichOle\USO[0]X8)TW29YR3Z3H6@AS.png"/>
                    <pic:cNvPicPr>
                      <a:picLocks noChangeAspect="1" noChangeArrowheads="1"/>
                    </pic:cNvPicPr>
                  </pic:nvPicPr>
                  <pic:blipFill>
                    <a:blip r:embed="rId11"/>
                    <a:srcRect/>
                    <a:stretch>
                      <a:fillRect/>
                    </a:stretch>
                  </pic:blipFill>
                  <pic:spPr bwMode="auto">
                    <a:xfrm>
                      <a:off x="0" y="0"/>
                      <a:ext cx="5286361" cy="3398915"/>
                    </a:xfrm>
                    <a:prstGeom prst="rect">
                      <a:avLst/>
                    </a:prstGeom>
                    <a:noFill/>
                    <a:ln w="9525">
                      <a:noFill/>
                      <a:miter lim="800000"/>
                      <a:headEnd/>
                      <a:tailEnd/>
                    </a:ln>
                  </pic:spPr>
                </pic:pic>
              </a:graphicData>
            </a:graphic>
          </wp:inline>
        </w:drawing>
      </w:r>
    </w:p>
    <w:p w:rsidR="00CF55C7" w:rsidRPr="00CF55C7" w:rsidRDefault="00CF55C7" w:rsidP="00CF55C7">
      <w:pPr>
        <w:widowControl/>
        <w:jc w:val="left"/>
        <w:rPr>
          <w:rFonts w:ascii="宋体" w:hAnsi="宋体" w:cs="宋体"/>
          <w:kern w:val="0"/>
          <w:sz w:val="24"/>
        </w:rPr>
      </w:pPr>
    </w:p>
    <w:p w:rsidR="00CF55C7" w:rsidRPr="00CF55C7" w:rsidRDefault="00CF55C7" w:rsidP="00CF55C7">
      <w:pPr>
        <w:widowControl/>
        <w:jc w:val="left"/>
        <w:rPr>
          <w:rFonts w:ascii="宋体" w:hAnsi="宋体" w:cs="宋体"/>
          <w:kern w:val="0"/>
          <w:sz w:val="24"/>
        </w:rPr>
      </w:pPr>
      <w:r>
        <w:rPr>
          <w:rFonts w:ascii="宋体" w:hAnsi="宋体" w:cs="宋体"/>
          <w:noProof/>
          <w:kern w:val="0"/>
          <w:sz w:val="24"/>
        </w:rPr>
        <w:drawing>
          <wp:inline distT="0" distB="0" distL="0" distR="0">
            <wp:extent cx="5286195" cy="4201064"/>
            <wp:effectExtent l="19050" t="0" r="0" b="0"/>
            <wp:docPr id="11" name="图片 11" descr="C:\Users\admin\AppData\Roaming\Tencent\Users\471687082\QQ\WinTemp\RichOle\QO5ZIN}L09L[[QAS~YG%]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Roaming\Tencent\Users\471687082\QQ\WinTemp\RichOle\QO5ZIN}L09L[[QAS~YG%]_E.png"/>
                    <pic:cNvPicPr>
                      <a:picLocks noChangeAspect="1" noChangeArrowheads="1"/>
                    </pic:cNvPicPr>
                  </pic:nvPicPr>
                  <pic:blipFill>
                    <a:blip r:embed="rId12"/>
                    <a:srcRect/>
                    <a:stretch>
                      <a:fillRect/>
                    </a:stretch>
                  </pic:blipFill>
                  <pic:spPr bwMode="auto">
                    <a:xfrm>
                      <a:off x="0" y="0"/>
                      <a:ext cx="5291110" cy="4204970"/>
                    </a:xfrm>
                    <a:prstGeom prst="rect">
                      <a:avLst/>
                    </a:prstGeom>
                    <a:noFill/>
                    <a:ln w="9525">
                      <a:noFill/>
                      <a:miter lim="800000"/>
                      <a:headEnd/>
                      <a:tailEnd/>
                    </a:ln>
                  </pic:spPr>
                </pic:pic>
              </a:graphicData>
            </a:graphic>
          </wp:inline>
        </w:drawing>
      </w:r>
    </w:p>
    <w:p w:rsidR="00F4219B" w:rsidRDefault="00F4219B">
      <w:pPr>
        <w:rPr>
          <w:rFonts w:ascii="仿宋" w:eastAsia="仿宋" w:hAnsi="仿宋" w:cs="仿宋" w:hint="eastAsia"/>
          <w:color w:val="333333"/>
          <w:kern w:val="0"/>
          <w:sz w:val="32"/>
          <w:szCs w:val="32"/>
          <w:shd w:val="clear" w:color="auto" w:fill="FFFFFF"/>
        </w:rPr>
      </w:pPr>
    </w:p>
    <w:p w:rsidR="00CF55C7" w:rsidRPr="00CF55C7" w:rsidRDefault="00CF55C7" w:rsidP="00CF55C7">
      <w:pPr>
        <w:widowControl/>
        <w:jc w:val="left"/>
        <w:rPr>
          <w:rFonts w:ascii="宋体" w:hAnsi="宋体" w:cs="宋体"/>
          <w:kern w:val="0"/>
          <w:sz w:val="24"/>
        </w:rPr>
      </w:pPr>
    </w:p>
    <w:p w:rsidR="00CF55C7" w:rsidRPr="00CF55C7" w:rsidRDefault="00CF55C7" w:rsidP="00CF55C7">
      <w:pPr>
        <w:widowControl/>
        <w:jc w:val="left"/>
        <w:rPr>
          <w:rFonts w:ascii="宋体" w:hAnsi="宋体" w:cs="宋体"/>
          <w:kern w:val="0"/>
          <w:sz w:val="24"/>
        </w:rPr>
      </w:pPr>
      <w:r>
        <w:rPr>
          <w:rFonts w:ascii="宋体" w:hAnsi="宋体" w:cs="宋体"/>
          <w:noProof/>
          <w:kern w:val="0"/>
          <w:sz w:val="24"/>
        </w:rPr>
        <w:lastRenderedPageBreak/>
        <w:drawing>
          <wp:inline distT="0" distB="0" distL="0" distR="0">
            <wp:extent cx="5286195" cy="4761473"/>
            <wp:effectExtent l="19050" t="0" r="0" b="0"/>
            <wp:docPr id="20" name="图片 20" descr="C:\Users\admin\AppData\Roaming\Tencent\Users\471687082\QQ\WinTemp\RichOle\2P9SEL2)6_GU`G%X]$9ER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AppData\Roaming\Tencent\Users\471687082\QQ\WinTemp\RichOle\2P9SEL2)6_GU`G%X]$9ER36.png"/>
                    <pic:cNvPicPr>
                      <a:picLocks noChangeAspect="1" noChangeArrowheads="1"/>
                    </pic:cNvPicPr>
                  </pic:nvPicPr>
                  <pic:blipFill>
                    <a:blip r:embed="rId13"/>
                    <a:srcRect/>
                    <a:stretch>
                      <a:fillRect/>
                    </a:stretch>
                  </pic:blipFill>
                  <pic:spPr bwMode="auto">
                    <a:xfrm>
                      <a:off x="0" y="0"/>
                      <a:ext cx="5285930" cy="4761235"/>
                    </a:xfrm>
                    <a:prstGeom prst="rect">
                      <a:avLst/>
                    </a:prstGeom>
                    <a:noFill/>
                    <a:ln w="9525">
                      <a:noFill/>
                      <a:miter lim="800000"/>
                      <a:headEnd/>
                      <a:tailEnd/>
                    </a:ln>
                  </pic:spPr>
                </pic:pic>
              </a:graphicData>
            </a:graphic>
          </wp:inline>
        </w:drawing>
      </w:r>
    </w:p>
    <w:p w:rsidR="00CF55C7" w:rsidRPr="00CF55C7" w:rsidRDefault="00CF55C7" w:rsidP="00CF55C7">
      <w:pPr>
        <w:widowControl/>
        <w:jc w:val="left"/>
        <w:rPr>
          <w:rFonts w:ascii="宋体" w:hAnsi="宋体" w:cs="宋体"/>
          <w:kern w:val="0"/>
          <w:sz w:val="24"/>
        </w:rPr>
      </w:pPr>
    </w:p>
    <w:p w:rsidR="002A7F6C" w:rsidRPr="002A7F6C" w:rsidRDefault="002A7F6C" w:rsidP="002A7F6C">
      <w:pPr>
        <w:widowControl/>
        <w:jc w:val="left"/>
        <w:rPr>
          <w:rFonts w:ascii="宋体" w:hAnsi="宋体" w:cs="宋体"/>
          <w:kern w:val="0"/>
          <w:sz w:val="24"/>
        </w:rPr>
      </w:pPr>
      <w:r>
        <w:rPr>
          <w:rFonts w:ascii="宋体" w:hAnsi="宋体" w:cs="宋体"/>
          <w:noProof/>
          <w:kern w:val="0"/>
          <w:sz w:val="24"/>
        </w:rPr>
        <w:drawing>
          <wp:inline distT="0" distB="0" distL="0" distR="0">
            <wp:extent cx="5286195" cy="1914221"/>
            <wp:effectExtent l="19050" t="0" r="0" b="0"/>
            <wp:docPr id="22" name="图片 22" descr="C:\Users\admin\AppData\Roaming\Tencent\Users\471687082\QQ\WinTemp\RichOle\5T(G[OQO7@_YI%K@2@@@}I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AppData\Roaming\Tencent\Users\471687082\QQ\WinTemp\RichOle\5T(G[OQO7@_YI%K@2@@@}I7.png"/>
                    <pic:cNvPicPr>
                      <a:picLocks noChangeAspect="1" noChangeArrowheads="1"/>
                    </pic:cNvPicPr>
                  </pic:nvPicPr>
                  <pic:blipFill>
                    <a:blip r:embed="rId14"/>
                    <a:srcRect/>
                    <a:stretch>
                      <a:fillRect/>
                    </a:stretch>
                  </pic:blipFill>
                  <pic:spPr bwMode="auto">
                    <a:xfrm>
                      <a:off x="0" y="0"/>
                      <a:ext cx="5288958" cy="1915222"/>
                    </a:xfrm>
                    <a:prstGeom prst="rect">
                      <a:avLst/>
                    </a:prstGeom>
                    <a:noFill/>
                    <a:ln w="9525">
                      <a:noFill/>
                      <a:miter lim="800000"/>
                      <a:headEnd/>
                      <a:tailEnd/>
                    </a:ln>
                  </pic:spPr>
                </pic:pic>
              </a:graphicData>
            </a:graphic>
          </wp:inline>
        </w:drawing>
      </w:r>
    </w:p>
    <w:p w:rsidR="00CF55C7" w:rsidRPr="00DA0D2B" w:rsidRDefault="002A7F6C" w:rsidP="002A7F6C">
      <w:pPr>
        <w:widowControl/>
        <w:jc w:val="left"/>
        <w:rPr>
          <w:rFonts w:ascii="仿宋" w:eastAsia="仿宋" w:hAnsi="仿宋" w:cs="仿宋"/>
          <w:color w:val="333333"/>
          <w:kern w:val="0"/>
          <w:sz w:val="32"/>
          <w:szCs w:val="32"/>
          <w:shd w:val="clear" w:color="auto" w:fill="FFFFFF"/>
        </w:rPr>
      </w:pPr>
      <w:r>
        <w:rPr>
          <w:rFonts w:ascii="宋体" w:hAnsi="宋体" w:cs="宋体"/>
          <w:noProof/>
          <w:kern w:val="0"/>
          <w:sz w:val="24"/>
        </w:rPr>
        <w:drawing>
          <wp:inline distT="0" distB="0" distL="0" distR="0">
            <wp:extent cx="5286195" cy="1475117"/>
            <wp:effectExtent l="19050" t="0" r="0" b="0"/>
            <wp:docPr id="24" name="图片 24" descr="C:\Users\admin\AppData\Roaming\Tencent\Users\471687082\QQ\WinTemp\RichOle\H(SIJ00}A2YBH_`9FNTAJ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AppData\Roaming\Tencent\Users\471687082\QQ\WinTemp\RichOle\H(SIJ00}A2YBH_`9FNTAJDO.png"/>
                    <pic:cNvPicPr>
                      <a:picLocks noChangeAspect="1" noChangeArrowheads="1"/>
                    </pic:cNvPicPr>
                  </pic:nvPicPr>
                  <pic:blipFill>
                    <a:blip r:embed="rId15"/>
                    <a:srcRect/>
                    <a:stretch>
                      <a:fillRect/>
                    </a:stretch>
                  </pic:blipFill>
                  <pic:spPr bwMode="auto">
                    <a:xfrm>
                      <a:off x="0" y="0"/>
                      <a:ext cx="5302982" cy="1479801"/>
                    </a:xfrm>
                    <a:prstGeom prst="rect">
                      <a:avLst/>
                    </a:prstGeom>
                    <a:noFill/>
                    <a:ln w="9525">
                      <a:noFill/>
                      <a:miter lim="800000"/>
                      <a:headEnd/>
                      <a:tailEnd/>
                    </a:ln>
                  </pic:spPr>
                </pic:pic>
              </a:graphicData>
            </a:graphic>
          </wp:inline>
        </w:drawing>
      </w:r>
    </w:p>
    <w:sectPr w:rsidR="00CF55C7" w:rsidRPr="00DA0D2B" w:rsidSect="00F4219B">
      <w:headerReference w:type="default" r:id="rId16"/>
      <w:pgSz w:w="11906" w:h="16838"/>
      <w:pgMar w:top="1440" w:right="1797"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F98" w:rsidRDefault="00080F98" w:rsidP="00F4219B">
      <w:r>
        <w:separator/>
      </w:r>
    </w:p>
  </w:endnote>
  <w:endnote w:type="continuationSeparator" w:id="1">
    <w:p w:rsidR="00080F98" w:rsidRDefault="00080F98" w:rsidP="00F42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F98" w:rsidRDefault="00080F98" w:rsidP="00F4219B">
      <w:r>
        <w:separator/>
      </w:r>
    </w:p>
  </w:footnote>
  <w:footnote w:type="continuationSeparator" w:id="1">
    <w:p w:rsidR="00080F98" w:rsidRDefault="00080F98" w:rsidP="00F42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19B" w:rsidRDefault="00F4219B">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71E8"/>
    <w:rsid w:val="000172B5"/>
    <w:rsid w:val="0003588D"/>
    <w:rsid w:val="0004405C"/>
    <w:rsid w:val="00057303"/>
    <w:rsid w:val="00060074"/>
    <w:rsid w:val="000603FD"/>
    <w:rsid w:val="00062F76"/>
    <w:rsid w:val="000660B6"/>
    <w:rsid w:val="00077B54"/>
    <w:rsid w:val="00080506"/>
    <w:rsid w:val="00080F98"/>
    <w:rsid w:val="000828E2"/>
    <w:rsid w:val="000B182B"/>
    <w:rsid w:val="000B1A09"/>
    <w:rsid w:val="000B1CC9"/>
    <w:rsid w:val="000C2782"/>
    <w:rsid w:val="000D76C7"/>
    <w:rsid w:val="000E52A3"/>
    <w:rsid w:val="000F1F58"/>
    <w:rsid w:val="000F7E3B"/>
    <w:rsid w:val="001056B8"/>
    <w:rsid w:val="0010723C"/>
    <w:rsid w:val="001101AE"/>
    <w:rsid w:val="00111138"/>
    <w:rsid w:val="00113781"/>
    <w:rsid w:val="0012403E"/>
    <w:rsid w:val="0013132F"/>
    <w:rsid w:val="00140612"/>
    <w:rsid w:val="001420E8"/>
    <w:rsid w:val="00147173"/>
    <w:rsid w:val="00162C18"/>
    <w:rsid w:val="00163FA9"/>
    <w:rsid w:val="00165944"/>
    <w:rsid w:val="00172A27"/>
    <w:rsid w:val="00183CF9"/>
    <w:rsid w:val="00190E00"/>
    <w:rsid w:val="00193505"/>
    <w:rsid w:val="0019442A"/>
    <w:rsid w:val="00194F72"/>
    <w:rsid w:val="001969F0"/>
    <w:rsid w:val="00196F2D"/>
    <w:rsid w:val="001B5BA9"/>
    <w:rsid w:val="001C38EC"/>
    <w:rsid w:val="001D137B"/>
    <w:rsid w:val="001E73AE"/>
    <w:rsid w:val="001F421F"/>
    <w:rsid w:val="001F4315"/>
    <w:rsid w:val="00214FF3"/>
    <w:rsid w:val="00220ADC"/>
    <w:rsid w:val="00223282"/>
    <w:rsid w:val="00225778"/>
    <w:rsid w:val="00234D82"/>
    <w:rsid w:val="0023775A"/>
    <w:rsid w:val="002423AE"/>
    <w:rsid w:val="00244A41"/>
    <w:rsid w:val="00266DAE"/>
    <w:rsid w:val="00267011"/>
    <w:rsid w:val="00267727"/>
    <w:rsid w:val="00271559"/>
    <w:rsid w:val="00276A0F"/>
    <w:rsid w:val="00282D45"/>
    <w:rsid w:val="00295B87"/>
    <w:rsid w:val="002A11B8"/>
    <w:rsid w:val="002A7F6C"/>
    <w:rsid w:val="002B2F2E"/>
    <w:rsid w:val="002B34F6"/>
    <w:rsid w:val="002B3BED"/>
    <w:rsid w:val="002B4CD1"/>
    <w:rsid w:val="002B629C"/>
    <w:rsid w:val="002C453B"/>
    <w:rsid w:val="002D21EE"/>
    <w:rsid w:val="002F0A2F"/>
    <w:rsid w:val="002F779B"/>
    <w:rsid w:val="00304C72"/>
    <w:rsid w:val="00307D2D"/>
    <w:rsid w:val="00312D08"/>
    <w:rsid w:val="003148C6"/>
    <w:rsid w:val="003346A1"/>
    <w:rsid w:val="0033553E"/>
    <w:rsid w:val="003411B8"/>
    <w:rsid w:val="00345B70"/>
    <w:rsid w:val="00354B31"/>
    <w:rsid w:val="00356FE5"/>
    <w:rsid w:val="00357EFC"/>
    <w:rsid w:val="00370DE2"/>
    <w:rsid w:val="00392060"/>
    <w:rsid w:val="003928C1"/>
    <w:rsid w:val="00394A4E"/>
    <w:rsid w:val="0039671B"/>
    <w:rsid w:val="00396DA4"/>
    <w:rsid w:val="003A0AD3"/>
    <w:rsid w:val="003A0F81"/>
    <w:rsid w:val="003B76B2"/>
    <w:rsid w:val="003C0065"/>
    <w:rsid w:val="003C4FE1"/>
    <w:rsid w:val="003C6572"/>
    <w:rsid w:val="003D58E9"/>
    <w:rsid w:val="003F15FC"/>
    <w:rsid w:val="003F430B"/>
    <w:rsid w:val="003F7E5D"/>
    <w:rsid w:val="00402B20"/>
    <w:rsid w:val="00403A68"/>
    <w:rsid w:val="00412FB3"/>
    <w:rsid w:val="0042043C"/>
    <w:rsid w:val="0042158F"/>
    <w:rsid w:val="00422332"/>
    <w:rsid w:val="00426100"/>
    <w:rsid w:val="00432631"/>
    <w:rsid w:val="00437C6F"/>
    <w:rsid w:val="00465705"/>
    <w:rsid w:val="00467029"/>
    <w:rsid w:val="00473ED8"/>
    <w:rsid w:val="00475F32"/>
    <w:rsid w:val="00476C66"/>
    <w:rsid w:val="004830E8"/>
    <w:rsid w:val="00483757"/>
    <w:rsid w:val="004922B0"/>
    <w:rsid w:val="00493646"/>
    <w:rsid w:val="0049610D"/>
    <w:rsid w:val="004A136D"/>
    <w:rsid w:val="004A2475"/>
    <w:rsid w:val="004A273A"/>
    <w:rsid w:val="004A4BBC"/>
    <w:rsid w:val="004B0CC8"/>
    <w:rsid w:val="004B141E"/>
    <w:rsid w:val="004B205E"/>
    <w:rsid w:val="004B256A"/>
    <w:rsid w:val="004B33BC"/>
    <w:rsid w:val="004B4C35"/>
    <w:rsid w:val="004B5CA7"/>
    <w:rsid w:val="004C1C4B"/>
    <w:rsid w:val="004D3CBD"/>
    <w:rsid w:val="004D4B66"/>
    <w:rsid w:val="004D6E26"/>
    <w:rsid w:val="004F2944"/>
    <w:rsid w:val="00500F20"/>
    <w:rsid w:val="00512B0A"/>
    <w:rsid w:val="00514BCD"/>
    <w:rsid w:val="0051696B"/>
    <w:rsid w:val="00521977"/>
    <w:rsid w:val="00535E2E"/>
    <w:rsid w:val="00545A99"/>
    <w:rsid w:val="005531DE"/>
    <w:rsid w:val="005835E3"/>
    <w:rsid w:val="00594473"/>
    <w:rsid w:val="005A40F0"/>
    <w:rsid w:val="005A76AC"/>
    <w:rsid w:val="005B5818"/>
    <w:rsid w:val="005B6217"/>
    <w:rsid w:val="005D0F56"/>
    <w:rsid w:val="005F25EE"/>
    <w:rsid w:val="005F35AC"/>
    <w:rsid w:val="005F6016"/>
    <w:rsid w:val="005F6D84"/>
    <w:rsid w:val="00600136"/>
    <w:rsid w:val="006045FB"/>
    <w:rsid w:val="00607210"/>
    <w:rsid w:val="0061375E"/>
    <w:rsid w:val="00615641"/>
    <w:rsid w:val="00624906"/>
    <w:rsid w:val="00640AD1"/>
    <w:rsid w:val="006420ED"/>
    <w:rsid w:val="00656DBF"/>
    <w:rsid w:val="00660625"/>
    <w:rsid w:val="006679E5"/>
    <w:rsid w:val="0069127A"/>
    <w:rsid w:val="00691600"/>
    <w:rsid w:val="00697132"/>
    <w:rsid w:val="006A6CDD"/>
    <w:rsid w:val="006B38C8"/>
    <w:rsid w:val="006B4432"/>
    <w:rsid w:val="006C0BEF"/>
    <w:rsid w:val="006C17AB"/>
    <w:rsid w:val="006E5E08"/>
    <w:rsid w:val="006F583D"/>
    <w:rsid w:val="006F6992"/>
    <w:rsid w:val="006F7F22"/>
    <w:rsid w:val="00703600"/>
    <w:rsid w:val="00707FFD"/>
    <w:rsid w:val="00720EE8"/>
    <w:rsid w:val="007332F1"/>
    <w:rsid w:val="007456CC"/>
    <w:rsid w:val="00745D02"/>
    <w:rsid w:val="00746973"/>
    <w:rsid w:val="0075007C"/>
    <w:rsid w:val="00766BF8"/>
    <w:rsid w:val="0077409A"/>
    <w:rsid w:val="007810D6"/>
    <w:rsid w:val="007B3B65"/>
    <w:rsid w:val="007C63C3"/>
    <w:rsid w:val="007C77B1"/>
    <w:rsid w:val="007D56C1"/>
    <w:rsid w:val="007D6CCD"/>
    <w:rsid w:val="007E1FE8"/>
    <w:rsid w:val="007E6C99"/>
    <w:rsid w:val="007F52DF"/>
    <w:rsid w:val="007F6095"/>
    <w:rsid w:val="007F6A8C"/>
    <w:rsid w:val="00800848"/>
    <w:rsid w:val="00800AA3"/>
    <w:rsid w:val="00802768"/>
    <w:rsid w:val="00811530"/>
    <w:rsid w:val="008136F1"/>
    <w:rsid w:val="00817521"/>
    <w:rsid w:val="00821C8C"/>
    <w:rsid w:val="00821FC5"/>
    <w:rsid w:val="00826B1E"/>
    <w:rsid w:val="00826FAB"/>
    <w:rsid w:val="0083096C"/>
    <w:rsid w:val="00830DCA"/>
    <w:rsid w:val="008335A0"/>
    <w:rsid w:val="00840758"/>
    <w:rsid w:val="008418A3"/>
    <w:rsid w:val="008424A0"/>
    <w:rsid w:val="008441A8"/>
    <w:rsid w:val="0084676F"/>
    <w:rsid w:val="00847CC0"/>
    <w:rsid w:val="008511CF"/>
    <w:rsid w:val="0085287B"/>
    <w:rsid w:val="00853D78"/>
    <w:rsid w:val="00855291"/>
    <w:rsid w:val="0085632A"/>
    <w:rsid w:val="00860BBD"/>
    <w:rsid w:val="00883AF0"/>
    <w:rsid w:val="00890CB1"/>
    <w:rsid w:val="00894FD3"/>
    <w:rsid w:val="008B2730"/>
    <w:rsid w:val="008B4742"/>
    <w:rsid w:val="008B7D67"/>
    <w:rsid w:val="008C2828"/>
    <w:rsid w:val="008E7C13"/>
    <w:rsid w:val="008F3B07"/>
    <w:rsid w:val="008F3D6F"/>
    <w:rsid w:val="00903222"/>
    <w:rsid w:val="00906363"/>
    <w:rsid w:val="00907F4A"/>
    <w:rsid w:val="009271EA"/>
    <w:rsid w:val="00935755"/>
    <w:rsid w:val="00941745"/>
    <w:rsid w:val="009441F5"/>
    <w:rsid w:val="0095368F"/>
    <w:rsid w:val="00964784"/>
    <w:rsid w:val="009721F2"/>
    <w:rsid w:val="0098184B"/>
    <w:rsid w:val="00996FA5"/>
    <w:rsid w:val="009A33AF"/>
    <w:rsid w:val="009A57D7"/>
    <w:rsid w:val="009B1DC5"/>
    <w:rsid w:val="009B531F"/>
    <w:rsid w:val="009B61AA"/>
    <w:rsid w:val="009C06B5"/>
    <w:rsid w:val="009C3267"/>
    <w:rsid w:val="009C4666"/>
    <w:rsid w:val="009E23CE"/>
    <w:rsid w:val="009F0DFD"/>
    <w:rsid w:val="009F515D"/>
    <w:rsid w:val="00A2246C"/>
    <w:rsid w:val="00A31F34"/>
    <w:rsid w:val="00A3702B"/>
    <w:rsid w:val="00A455E8"/>
    <w:rsid w:val="00A52CF5"/>
    <w:rsid w:val="00A546E6"/>
    <w:rsid w:val="00A54DA3"/>
    <w:rsid w:val="00A617B4"/>
    <w:rsid w:val="00A65BBC"/>
    <w:rsid w:val="00A7172A"/>
    <w:rsid w:val="00A72CF9"/>
    <w:rsid w:val="00A75C83"/>
    <w:rsid w:val="00A761F9"/>
    <w:rsid w:val="00A7692E"/>
    <w:rsid w:val="00A86594"/>
    <w:rsid w:val="00A92142"/>
    <w:rsid w:val="00AA2296"/>
    <w:rsid w:val="00AA51F4"/>
    <w:rsid w:val="00AA60E0"/>
    <w:rsid w:val="00AB0FEF"/>
    <w:rsid w:val="00AB4E9E"/>
    <w:rsid w:val="00AB57C5"/>
    <w:rsid w:val="00AC0EF2"/>
    <w:rsid w:val="00AC2187"/>
    <w:rsid w:val="00AC4624"/>
    <w:rsid w:val="00AC55E5"/>
    <w:rsid w:val="00AE2903"/>
    <w:rsid w:val="00AE57C6"/>
    <w:rsid w:val="00AE7AA8"/>
    <w:rsid w:val="00AF0F7B"/>
    <w:rsid w:val="00AF5545"/>
    <w:rsid w:val="00B0673D"/>
    <w:rsid w:val="00B160BF"/>
    <w:rsid w:val="00B16258"/>
    <w:rsid w:val="00B24F7A"/>
    <w:rsid w:val="00B40325"/>
    <w:rsid w:val="00B73D25"/>
    <w:rsid w:val="00B756A3"/>
    <w:rsid w:val="00B83ACC"/>
    <w:rsid w:val="00B8589B"/>
    <w:rsid w:val="00B8659B"/>
    <w:rsid w:val="00BA0850"/>
    <w:rsid w:val="00BA6826"/>
    <w:rsid w:val="00BA7513"/>
    <w:rsid w:val="00BB569E"/>
    <w:rsid w:val="00BC1A56"/>
    <w:rsid w:val="00BC523A"/>
    <w:rsid w:val="00BC54ED"/>
    <w:rsid w:val="00BD284A"/>
    <w:rsid w:val="00BD5F3A"/>
    <w:rsid w:val="00BE5003"/>
    <w:rsid w:val="00BF0552"/>
    <w:rsid w:val="00BF1B5E"/>
    <w:rsid w:val="00BF42CF"/>
    <w:rsid w:val="00C04A0B"/>
    <w:rsid w:val="00C11C71"/>
    <w:rsid w:val="00C13C0C"/>
    <w:rsid w:val="00C14F61"/>
    <w:rsid w:val="00C17F72"/>
    <w:rsid w:val="00C322E4"/>
    <w:rsid w:val="00C33586"/>
    <w:rsid w:val="00C40654"/>
    <w:rsid w:val="00C46010"/>
    <w:rsid w:val="00C47B22"/>
    <w:rsid w:val="00C557EC"/>
    <w:rsid w:val="00C64D54"/>
    <w:rsid w:val="00C650A9"/>
    <w:rsid w:val="00C72384"/>
    <w:rsid w:val="00C72B2F"/>
    <w:rsid w:val="00C82A0E"/>
    <w:rsid w:val="00C92F72"/>
    <w:rsid w:val="00CA4EA9"/>
    <w:rsid w:val="00CB26F7"/>
    <w:rsid w:val="00CB69E6"/>
    <w:rsid w:val="00CC0131"/>
    <w:rsid w:val="00CD39A6"/>
    <w:rsid w:val="00CE587F"/>
    <w:rsid w:val="00CE7B30"/>
    <w:rsid w:val="00CF55C7"/>
    <w:rsid w:val="00D02E93"/>
    <w:rsid w:val="00D05D41"/>
    <w:rsid w:val="00D141A1"/>
    <w:rsid w:val="00D166E0"/>
    <w:rsid w:val="00D350CD"/>
    <w:rsid w:val="00D37C1B"/>
    <w:rsid w:val="00D43959"/>
    <w:rsid w:val="00D515FD"/>
    <w:rsid w:val="00D540E8"/>
    <w:rsid w:val="00D63E19"/>
    <w:rsid w:val="00D80273"/>
    <w:rsid w:val="00D815B4"/>
    <w:rsid w:val="00D939B7"/>
    <w:rsid w:val="00D9413E"/>
    <w:rsid w:val="00D97D49"/>
    <w:rsid w:val="00DA0D2B"/>
    <w:rsid w:val="00DA0FF4"/>
    <w:rsid w:val="00DA405C"/>
    <w:rsid w:val="00DB10E5"/>
    <w:rsid w:val="00DC00A2"/>
    <w:rsid w:val="00DD1539"/>
    <w:rsid w:val="00DD22E4"/>
    <w:rsid w:val="00DF0E54"/>
    <w:rsid w:val="00DF27A4"/>
    <w:rsid w:val="00DF4AB4"/>
    <w:rsid w:val="00E0035E"/>
    <w:rsid w:val="00E05872"/>
    <w:rsid w:val="00E06E4B"/>
    <w:rsid w:val="00E14F9D"/>
    <w:rsid w:val="00E1646B"/>
    <w:rsid w:val="00E2073E"/>
    <w:rsid w:val="00E345EE"/>
    <w:rsid w:val="00E412C5"/>
    <w:rsid w:val="00E434F7"/>
    <w:rsid w:val="00E5686C"/>
    <w:rsid w:val="00E574AD"/>
    <w:rsid w:val="00E57E17"/>
    <w:rsid w:val="00E629FA"/>
    <w:rsid w:val="00E646C1"/>
    <w:rsid w:val="00E7157E"/>
    <w:rsid w:val="00E71A3C"/>
    <w:rsid w:val="00E76840"/>
    <w:rsid w:val="00E80983"/>
    <w:rsid w:val="00E83BE2"/>
    <w:rsid w:val="00EA1BD0"/>
    <w:rsid w:val="00EA7A53"/>
    <w:rsid w:val="00EB5AFE"/>
    <w:rsid w:val="00EC185A"/>
    <w:rsid w:val="00ED4249"/>
    <w:rsid w:val="00ED4DD6"/>
    <w:rsid w:val="00EE3FE8"/>
    <w:rsid w:val="00EF4D30"/>
    <w:rsid w:val="00EF607A"/>
    <w:rsid w:val="00F1289D"/>
    <w:rsid w:val="00F263C0"/>
    <w:rsid w:val="00F30924"/>
    <w:rsid w:val="00F36525"/>
    <w:rsid w:val="00F40353"/>
    <w:rsid w:val="00F410F7"/>
    <w:rsid w:val="00F4219B"/>
    <w:rsid w:val="00F46751"/>
    <w:rsid w:val="00F5087B"/>
    <w:rsid w:val="00F51A36"/>
    <w:rsid w:val="00F530B0"/>
    <w:rsid w:val="00F60184"/>
    <w:rsid w:val="00F706EE"/>
    <w:rsid w:val="00F72CF6"/>
    <w:rsid w:val="00F84540"/>
    <w:rsid w:val="00F931E3"/>
    <w:rsid w:val="00F9716C"/>
    <w:rsid w:val="00FA136C"/>
    <w:rsid w:val="00FB68DD"/>
    <w:rsid w:val="00FC4124"/>
    <w:rsid w:val="00FE6C5D"/>
    <w:rsid w:val="00FF0379"/>
    <w:rsid w:val="00FF098C"/>
    <w:rsid w:val="00FF6213"/>
    <w:rsid w:val="00FF6723"/>
    <w:rsid w:val="0D753D10"/>
    <w:rsid w:val="330A48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19B"/>
    <w:pPr>
      <w:widowControl w:val="0"/>
      <w:jc w:val="both"/>
    </w:pPr>
    <w:rPr>
      <w:kern w:val="2"/>
      <w:sz w:val="21"/>
      <w:szCs w:val="24"/>
    </w:rPr>
  </w:style>
  <w:style w:type="paragraph" w:styleId="2">
    <w:name w:val="heading 2"/>
    <w:basedOn w:val="a"/>
    <w:next w:val="a"/>
    <w:semiHidden/>
    <w:unhideWhenUsed/>
    <w:qFormat/>
    <w:rsid w:val="00F4219B"/>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4219B"/>
    <w:pPr>
      <w:tabs>
        <w:tab w:val="center" w:pos="4153"/>
        <w:tab w:val="right" w:pos="8306"/>
      </w:tabs>
      <w:snapToGrid w:val="0"/>
      <w:jc w:val="left"/>
    </w:pPr>
    <w:rPr>
      <w:sz w:val="18"/>
      <w:szCs w:val="18"/>
    </w:rPr>
  </w:style>
  <w:style w:type="paragraph" w:styleId="a4">
    <w:name w:val="header"/>
    <w:basedOn w:val="a"/>
    <w:link w:val="Char0"/>
    <w:rsid w:val="00F4219B"/>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F4219B"/>
    <w:pPr>
      <w:spacing w:beforeAutospacing="1" w:afterAutospacing="1"/>
      <w:jc w:val="left"/>
    </w:pPr>
    <w:rPr>
      <w:kern w:val="0"/>
      <w:sz w:val="24"/>
    </w:rPr>
  </w:style>
  <w:style w:type="character" w:styleId="a6">
    <w:name w:val="Strong"/>
    <w:basedOn w:val="a0"/>
    <w:qFormat/>
    <w:rsid w:val="00F4219B"/>
    <w:rPr>
      <w:b/>
    </w:rPr>
  </w:style>
  <w:style w:type="character" w:customStyle="1" w:styleId="Char0">
    <w:name w:val="页眉 Char"/>
    <w:basedOn w:val="a0"/>
    <w:link w:val="a4"/>
    <w:qFormat/>
    <w:rsid w:val="00F4219B"/>
    <w:rPr>
      <w:kern w:val="2"/>
      <w:sz w:val="18"/>
      <w:szCs w:val="18"/>
    </w:rPr>
  </w:style>
  <w:style w:type="character" w:customStyle="1" w:styleId="Char">
    <w:name w:val="页脚 Char"/>
    <w:basedOn w:val="a0"/>
    <w:link w:val="a3"/>
    <w:qFormat/>
    <w:rsid w:val="00F4219B"/>
    <w:rPr>
      <w:kern w:val="2"/>
      <w:sz w:val="18"/>
      <w:szCs w:val="18"/>
    </w:rPr>
  </w:style>
  <w:style w:type="paragraph" w:customStyle="1" w:styleId="p0">
    <w:name w:val="p0"/>
    <w:basedOn w:val="a"/>
    <w:rsid w:val="00DA0D2B"/>
    <w:pPr>
      <w:widowControl/>
    </w:pPr>
    <w:rPr>
      <w:kern w:val="0"/>
      <w:szCs w:val="21"/>
    </w:rPr>
  </w:style>
  <w:style w:type="paragraph" w:styleId="a7">
    <w:name w:val="Balloon Text"/>
    <w:basedOn w:val="a"/>
    <w:link w:val="Char1"/>
    <w:rsid w:val="00162C18"/>
    <w:rPr>
      <w:sz w:val="18"/>
      <w:szCs w:val="18"/>
    </w:rPr>
  </w:style>
  <w:style w:type="character" w:customStyle="1" w:styleId="Char1">
    <w:name w:val="批注框文本 Char"/>
    <w:basedOn w:val="a0"/>
    <w:link w:val="a7"/>
    <w:rsid w:val="00162C18"/>
    <w:rPr>
      <w:kern w:val="2"/>
      <w:sz w:val="18"/>
      <w:szCs w:val="18"/>
    </w:rPr>
  </w:style>
</w:styles>
</file>

<file path=word/webSettings.xml><?xml version="1.0" encoding="utf-8"?>
<w:webSettings xmlns:r="http://schemas.openxmlformats.org/officeDocument/2006/relationships" xmlns:w="http://schemas.openxmlformats.org/wordprocessingml/2006/main">
  <w:divs>
    <w:div w:id="152918664">
      <w:bodyDiv w:val="1"/>
      <w:marLeft w:val="0"/>
      <w:marRight w:val="0"/>
      <w:marTop w:val="0"/>
      <w:marBottom w:val="0"/>
      <w:divBdr>
        <w:top w:val="none" w:sz="0" w:space="0" w:color="auto"/>
        <w:left w:val="none" w:sz="0" w:space="0" w:color="auto"/>
        <w:bottom w:val="none" w:sz="0" w:space="0" w:color="auto"/>
        <w:right w:val="none" w:sz="0" w:space="0" w:color="auto"/>
      </w:divBdr>
      <w:divsChild>
        <w:div w:id="939146831">
          <w:marLeft w:val="0"/>
          <w:marRight w:val="0"/>
          <w:marTop w:val="0"/>
          <w:marBottom w:val="0"/>
          <w:divBdr>
            <w:top w:val="none" w:sz="0" w:space="0" w:color="auto"/>
            <w:left w:val="none" w:sz="0" w:space="0" w:color="auto"/>
            <w:bottom w:val="none" w:sz="0" w:space="0" w:color="auto"/>
            <w:right w:val="none" w:sz="0" w:space="0" w:color="auto"/>
          </w:divBdr>
        </w:div>
      </w:divsChild>
    </w:div>
    <w:div w:id="336159403">
      <w:bodyDiv w:val="1"/>
      <w:marLeft w:val="0"/>
      <w:marRight w:val="0"/>
      <w:marTop w:val="0"/>
      <w:marBottom w:val="0"/>
      <w:divBdr>
        <w:top w:val="none" w:sz="0" w:space="0" w:color="auto"/>
        <w:left w:val="none" w:sz="0" w:space="0" w:color="auto"/>
        <w:bottom w:val="none" w:sz="0" w:space="0" w:color="auto"/>
        <w:right w:val="none" w:sz="0" w:space="0" w:color="auto"/>
      </w:divBdr>
      <w:divsChild>
        <w:div w:id="367488312">
          <w:marLeft w:val="0"/>
          <w:marRight w:val="0"/>
          <w:marTop w:val="0"/>
          <w:marBottom w:val="0"/>
          <w:divBdr>
            <w:top w:val="none" w:sz="0" w:space="0" w:color="auto"/>
            <w:left w:val="none" w:sz="0" w:space="0" w:color="auto"/>
            <w:bottom w:val="none" w:sz="0" w:space="0" w:color="auto"/>
            <w:right w:val="none" w:sz="0" w:space="0" w:color="auto"/>
          </w:divBdr>
        </w:div>
      </w:divsChild>
    </w:div>
    <w:div w:id="885916531">
      <w:bodyDiv w:val="1"/>
      <w:marLeft w:val="0"/>
      <w:marRight w:val="0"/>
      <w:marTop w:val="0"/>
      <w:marBottom w:val="0"/>
      <w:divBdr>
        <w:top w:val="none" w:sz="0" w:space="0" w:color="auto"/>
        <w:left w:val="none" w:sz="0" w:space="0" w:color="auto"/>
        <w:bottom w:val="none" w:sz="0" w:space="0" w:color="auto"/>
        <w:right w:val="none" w:sz="0" w:space="0" w:color="auto"/>
      </w:divBdr>
      <w:divsChild>
        <w:div w:id="1420446319">
          <w:marLeft w:val="0"/>
          <w:marRight w:val="0"/>
          <w:marTop w:val="0"/>
          <w:marBottom w:val="0"/>
          <w:divBdr>
            <w:top w:val="none" w:sz="0" w:space="0" w:color="auto"/>
            <w:left w:val="none" w:sz="0" w:space="0" w:color="auto"/>
            <w:bottom w:val="none" w:sz="0" w:space="0" w:color="auto"/>
            <w:right w:val="none" w:sz="0" w:space="0" w:color="auto"/>
          </w:divBdr>
        </w:div>
      </w:divsChild>
    </w:div>
    <w:div w:id="940719821">
      <w:bodyDiv w:val="1"/>
      <w:marLeft w:val="0"/>
      <w:marRight w:val="0"/>
      <w:marTop w:val="0"/>
      <w:marBottom w:val="0"/>
      <w:divBdr>
        <w:top w:val="none" w:sz="0" w:space="0" w:color="auto"/>
        <w:left w:val="none" w:sz="0" w:space="0" w:color="auto"/>
        <w:bottom w:val="none" w:sz="0" w:space="0" w:color="auto"/>
        <w:right w:val="none" w:sz="0" w:space="0" w:color="auto"/>
      </w:divBdr>
      <w:divsChild>
        <w:div w:id="105737625">
          <w:marLeft w:val="0"/>
          <w:marRight w:val="0"/>
          <w:marTop w:val="0"/>
          <w:marBottom w:val="0"/>
          <w:divBdr>
            <w:top w:val="none" w:sz="0" w:space="0" w:color="auto"/>
            <w:left w:val="none" w:sz="0" w:space="0" w:color="auto"/>
            <w:bottom w:val="none" w:sz="0" w:space="0" w:color="auto"/>
            <w:right w:val="none" w:sz="0" w:space="0" w:color="auto"/>
          </w:divBdr>
        </w:div>
      </w:divsChild>
    </w:div>
    <w:div w:id="966274924">
      <w:bodyDiv w:val="1"/>
      <w:marLeft w:val="0"/>
      <w:marRight w:val="0"/>
      <w:marTop w:val="0"/>
      <w:marBottom w:val="0"/>
      <w:divBdr>
        <w:top w:val="none" w:sz="0" w:space="0" w:color="auto"/>
        <w:left w:val="none" w:sz="0" w:space="0" w:color="auto"/>
        <w:bottom w:val="none" w:sz="0" w:space="0" w:color="auto"/>
        <w:right w:val="none" w:sz="0" w:space="0" w:color="auto"/>
      </w:divBdr>
      <w:divsChild>
        <w:div w:id="791510687">
          <w:marLeft w:val="0"/>
          <w:marRight w:val="0"/>
          <w:marTop w:val="0"/>
          <w:marBottom w:val="0"/>
          <w:divBdr>
            <w:top w:val="none" w:sz="0" w:space="0" w:color="auto"/>
            <w:left w:val="none" w:sz="0" w:space="0" w:color="auto"/>
            <w:bottom w:val="none" w:sz="0" w:space="0" w:color="auto"/>
            <w:right w:val="none" w:sz="0" w:space="0" w:color="auto"/>
          </w:divBdr>
        </w:div>
      </w:divsChild>
    </w:div>
    <w:div w:id="1687094388">
      <w:bodyDiv w:val="1"/>
      <w:marLeft w:val="0"/>
      <w:marRight w:val="0"/>
      <w:marTop w:val="0"/>
      <w:marBottom w:val="0"/>
      <w:divBdr>
        <w:top w:val="none" w:sz="0" w:space="0" w:color="auto"/>
        <w:left w:val="none" w:sz="0" w:space="0" w:color="auto"/>
        <w:bottom w:val="none" w:sz="0" w:space="0" w:color="auto"/>
        <w:right w:val="none" w:sz="0" w:space="0" w:color="auto"/>
      </w:divBdr>
      <w:divsChild>
        <w:div w:id="48192631">
          <w:marLeft w:val="0"/>
          <w:marRight w:val="0"/>
          <w:marTop w:val="0"/>
          <w:marBottom w:val="0"/>
          <w:divBdr>
            <w:top w:val="none" w:sz="0" w:space="0" w:color="auto"/>
            <w:left w:val="none" w:sz="0" w:space="0" w:color="auto"/>
            <w:bottom w:val="none" w:sz="0" w:space="0" w:color="auto"/>
            <w:right w:val="none" w:sz="0" w:space="0" w:color="auto"/>
          </w:divBdr>
        </w:div>
      </w:divsChild>
    </w:div>
    <w:div w:id="1819682533">
      <w:bodyDiv w:val="1"/>
      <w:marLeft w:val="0"/>
      <w:marRight w:val="0"/>
      <w:marTop w:val="0"/>
      <w:marBottom w:val="0"/>
      <w:divBdr>
        <w:top w:val="none" w:sz="0" w:space="0" w:color="auto"/>
        <w:left w:val="none" w:sz="0" w:space="0" w:color="auto"/>
        <w:bottom w:val="none" w:sz="0" w:space="0" w:color="auto"/>
        <w:right w:val="none" w:sz="0" w:space="0" w:color="auto"/>
      </w:divBdr>
      <w:divsChild>
        <w:div w:id="1109854291">
          <w:marLeft w:val="0"/>
          <w:marRight w:val="0"/>
          <w:marTop w:val="0"/>
          <w:marBottom w:val="0"/>
          <w:divBdr>
            <w:top w:val="none" w:sz="0" w:space="0" w:color="auto"/>
            <w:left w:val="none" w:sz="0" w:space="0" w:color="auto"/>
            <w:bottom w:val="none" w:sz="0" w:space="0" w:color="auto"/>
            <w:right w:val="none" w:sz="0" w:space="0" w:color="auto"/>
          </w:divBdr>
        </w:div>
      </w:divsChild>
    </w:div>
    <w:div w:id="1908877677">
      <w:bodyDiv w:val="1"/>
      <w:marLeft w:val="0"/>
      <w:marRight w:val="0"/>
      <w:marTop w:val="0"/>
      <w:marBottom w:val="0"/>
      <w:divBdr>
        <w:top w:val="none" w:sz="0" w:space="0" w:color="auto"/>
        <w:left w:val="none" w:sz="0" w:space="0" w:color="auto"/>
        <w:bottom w:val="none" w:sz="0" w:space="0" w:color="auto"/>
        <w:right w:val="none" w:sz="0" w:space="0" w:color="auto"/>
      </w:divBdr>
      <w:divsChild>
        <w:div w:id="2022078679">
          <w:marLeft w:val="0"/>
          <w:marRight w:val="0"/>
          <w:marTop w:val="0"/>
          <w:marBottom w:val="0"/>
          <w:divBdr>
            <w:top w:val="none" w:sz="0" w:space="0" w:color="auto"/>
            <w:left w:val="none" w:sz="0" w:space="0" w:color="auto"/>
            <w:bottom w:val="none" w:sz="0" w:space="0" w:color="auto"/>
            <w:right w:val="none" w:sz="0" w:space="0" w:color="auto"/>
          </w:divBdr>
        </w:div>
      </w:divsChild>
    </w:div>
    <w:div w:id="1964530508">
      <w:bodyDiv w:val="1"/>
      <w:marLeft w:val="0"/>
      <w:marRight w:val="0"/>
      <w:marTop w:val="0"/>
      <w:marBottom w:val="0"/>
      <w:divBdr>
        <w:top w:val="none" w:sz="0" w:space="0" w:color="auto"/>
        <w:left w:val="none" w:sz="0" w:space="0" w:color="auto"/>
        <w:bottom w:val="none" w:sz="0" w:space="0" w:color="auto"/>
        <w:right w:val="none" w:sz="0" w:space="0" w:color="auto"/>
      </w:divBdr>
      <w:divsChild>
        <w:div w:id="1260798803">
          <w:marLeft w:val="0"/>
          <w:marRight w:val="0"/>
          <w:marTop w:val="0"/>
          <w:marBottom w:val="0"/>
          <w:divBdr>
            <w:top w:val="none" w:sz="0" w:space="0" w:color="auto"/>
            <w:left w:val="none" w:sz="0" w:space="0" w:color="auto"/>
            <w:bottom w:val="none" w:sz="0" w:space="0" w:color="auto"/>
            <w:right w:val="none" w:sz="0" w:space="0" w:color="auto"/>
          </w:divBdr>
        </w:div>
      </w:divsChild>
    </w:div>
    <w:div w:id="1967855255">
      <w:bodyDiv w:val="1"/>
      <w:marLeft w:val="0"/>
      <w:marRight w:val="0"/>
      <w:marTop w:val="0"/>
      <w:marBottom w:val="0"/>
      <w:divBdr>
        <w:top w:val="none" w:sz="0" w:space="0" w:color="auto"/>
        <w:left w:val="none" w:sz="0" w:space="0" w:color="auto"/>
        <w:bottom w:val="none" w:sz="0" w:space="0" w:color="auto"/>
        <w:right w:val="none" w:sz="0" w:space="0" w:color="auto"/>
      </w:divBdr>
      <w:divsChild>
        <w:div w:id="485704955">
          <w:marLeft w:val="0"/>
          <w:marRight w:val="0"/>
          <w:marTop w:val="0"/>
          <w:marBottom w:val="0"/>
          <w:divBdr>
            <w:top w:val="none" w:sz="0" w:space="0" w:color="auto"/>
            <w:left w:val="none" w:sz="0" w:space="0" w:color="auto"/>
            <w:bottom w:val="none" w:sz="0" w:space="0" w:color="auto"/>
            <w:right w:val="none" w:sz="0" w:space="0" w:color="auto"/>
          </w:divBdr>
        </w:div>
      </w:divsChild>
    </w:div>
    <w:div w:id="2093314408">
      <w:bodyDiv w:val="1"/>
      <w:marLeft w:val="0"/>
      <w:marRight w:val="0"/>
      <w:marTop w:val="0"/>
      <w:marBottom w:val="0"/>
      <w:divBdr>
        <w:top w:val="none" w:sz="0" w:space="0" w:color="auto"/>
        <w:left w:val="none" w:sz="0" w:space="0" w:color="auto"/>
        <w:bottom w:val="none" w:sz="0" w:space="0" w:color="auto"/>
        <w:right w:val="none" w:sz="0" w:space="0" w:color="auto"/>
      </w:divBdr>
      <w:divsChild>
        <w:div w:id="11928398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397DDB7-9A57-4E5E-9DE3-28389723AA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10</Pages>
  <Words>395</Words>
  <Characters>2252</Characters>
  <Application>Microsoft Office Word</Application>
  <DocSecurity>0</DocSecurity>
  <Lines>18</Lines>
  <Paragraphs>5</Paragraphs>
  <ScaleCrop>false</ScaleCrop>
  <Company>微软中国</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附件4：省级部门预算公开样式</dc:title>
  <dc:creator>微软用户</dc:creator>
  <cp:lastModifiedBy>admin</cp:lastModifiedBy>
  <cp:revision>8</cp:revision>
  <cp:lastPrinted>2019-06-12T02:36:00Z</cp:lastPrinted>
  <dcterms:created xsi:type="dcterms:W3CDTF">2019-06-12T01:44:00Z</dcterms:created>
  <dcterms:modified xsi:type="dcterms:W3CDTF">2021-05-25T08:05:00Z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