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ind w:firstLine="1701" w:firstLineChars="385"/>
        <w:jc w:val="both"/>
        <w:textAlignment w:val="auto"/>
        <w:rPr>
          <w:rFonts w:hint="eastAsia" w:ascii="黑体" w:hAnsi="黑体" w:eastAsia="黑体" w:cs="黑体"/>
          <w:b/>
          <w:bCs/>
          <w:color w:val="auto"/>
          <w:kern w:val="0"/>
          <w:sz w:val="44"/>
          <w:szCs w:val="44"/>
          <w:lang w:val="en-US" w:eastAsia="zh-CN"/>
        </w:rPr>
      </w:pPr>
      <w:r>
        <w:rPr>
          <w:rFonts w:hint="eastAsia" w:ascii="黑体" w:hAnsi="黑体" w:eastAsia="黑体" w:cs="黑体"/>
          <w:b/>
          <w:bCs/>
          <w:color w:val="auto"/>
          <w:kern w:val="0"/>
          <w:sz w:val="44"/>
          <w:szCs w:val="44"/>
          <w:lang w:val="en-US" w:eastAsia="zh-CN"/>
        </w:rPr>
        <w:t>项目支出绩效评价报告</w:t>
      </w:r>
    </w:p>
    <w:p>
      <w:pPr>
        <w:keepNext w:val="0"/>
        <w:keepLines w:val="0"/>
        <w:pageBreakBefore w:val="0"/>
        <w:kinsoku/>
        <w:wordWrap/>
        <w:overflowPunct/>
        <w:topLinePunct w:val="0"/>
        <w:bidi w:val="0"/>
        <w:snapToGrid/>
        <w:spacing w:line="600" w:lineRule="exact"/>
        <w:ind w:firstLine="2138" w:firstLineChars="484"/>
        <w:jc w:val="both"/>
        <w:textAlignment w:val="auto"/>
        <w:rPr>
          <w:rFonts w:hint="eastAsia" w:ascii="仿宋_GB2312" w:hAnsi="仿宋_GB2312" w:eastAsia="仿宋_GB2312" w:cs="Times New Roman"/>
          <w:color w:val="auto"/>
          <w:kern w:val="0"/>
          <w:sz w:val="44"/>
          <w:szCs w:val="44"/>
          <w:lang w:val="en-US" w:eastAsia="zh-CN"/>
        </w:rPr>
      </w:pPr>
      <w:r>
        <w:rPr>
          <w:rFonts w:hint="eastAsia" w:ascii="黑体" w:hAnsi="黑体" w:eastAsia="黑体" w:cs="黑体"/>
          <w:b/>
          <w:bCs/>
          <w:color w:val="auto"/>
          <w:kern w:val="0"/>
          <w:sz w:val="44"/>
          <w:szCs w:val="44"/>
          <w:lang w:val="en-US" w:eastAsia="zh-CN"/>
        </w:rPr>
        <w:t>（长寿高龄补贴）</w:t>
      </w:r>
    </w:p>
    <w:p>
      <w:pPr>
        <w:rPr>
          <w:rFonts w:hint="default"/>
          <w:lang w:val="en-US" w:eastAsia="zh-CN"/>
        </w:rPr>
      </w:pP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b/>
          <w:bCs/>
          <w:color w:val="auto"/>
          <w:kern w:val="0"/>
          <w:sz w:val="32"/>
          <w:szCs w:val="32"/>
          <w:lang w:val="en-US" w:eastAsia="zh-CN"/>
        </w:rPr>
      </w:pPr>
      <w:r>
        <w:rPr>
          <w:rFonts w:hint="eastAsia" w:ascii="方正仿宋_GB2312" w:hAnsi="方正仿宋_GB2312" w:eastAsia="方正仿宋_GB2312" w:cs="方正仿宋_GB2312"/>
          <w:b/>
          <w:bCs/>
          <w:color w:val="auto"/>
          <w:kern w:val="0"/>
          <w:sz w:val="32"/>
          <w:szCs w:val="32"/>
          <w:lang w:val="en-US" w:eastAsia="zh-CN"/>
        </w:rPr>
        <w:t>一、项目概述</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长寿高龄补贴项目是为了关怀和保障长寿市老年人的生活，特别是那些高龄、困难、残疾等需要额外照顾的老年人。此项目的目标是通过给予经济补贴和相关服务，提高老年人的生活质量，并减轻其家庭的经济负担。</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b/>
          <w:bCs/>
          <w:color w:val="auto"/>
          <w:kern w:val="0"/>
          <w:sz w:val="32"/>
          <w:szCs w:val="32"/>
          <w:lang w:val="en-US" w:eastAsia="zh-CN"/>
        </w:rPr>
      </w:pPr>
      <w:r>
        <w:rPr>
          <w:rFonts w:hint="eastAsia" w:ascii="方正仿宋_GB2312" w:hAnsi="方正仿宋_GB2312" w:eastAsia="方正仿宋_GB2312" w:cs="方正仿宋_GB2312"/>
          <w:b/>
          <w:bCs/>
          <w:color w:val="auto"/>
          <w:kern w:val="0"/>
          <w:sz w:val="32"/>
          <w:szCs w:val="32"/>
          <w:lang w:val="en-US" w:eastAsia="zh-CN"/>
        </w:rPr>
        <w:t>二、绩效目标</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项目的绩效目标包括：</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1. 为符合条件的老年人提供及时、足额的补贴，以改善其生活质量。</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2. 建立一套高效、公正、透明的补贴发放和管理机制，以防止滥用和确保公平性。</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b/>
          <w:bCs/>
          <w:color w:val="auto"/>
          <w:kern w:val="0"/>
          <w:sz w:val="32"/>
          <w:szCs w:val="32"/>
          <w:lang w:val="en-US" w:eastAsia="zh-CN"/>
        </w:rPr>
      </w:pPr>
      <w:r>
        <w:rPr>
          <w:rFonts w:hint="eastAsia" w:ascii="方正仿宋_GB2312" w:hAnsi="方正仿宋_GB2312" w:eastAsia="方正仿宋_GB2312" w:cs="方正仿宋_GB2312"/>
          <w:b/>
          <w:bCs/>
          <w:color w:val="auto"/>
          <w:kern w:val="0"/>
          <w:sz w:val="32"/>
          <w:szCs w:val="32"/>
          <w:lang w:val="en-US" w:eastAsia="zh-CN"/>
        </w:rPr>
        <w:t>三、绩效评价</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1. 产出：该项目已经在所有符合条件的老年人中发放了高龄补贴，都得到了老年人和其家庭的积极反馈。</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2. 效果：通过项目的实施，老年人的生活质量得到了显著提高，家庭经济负担也得到了减轻。同时，项目的服务也增强了老年人的社会参与度和身心健康。然而，项目的效果评价还需要进一步的研究和分析，以更全面地了解项目的影响和效果。</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3. 成本效益：该项目的成本效益很高。虽然初始投资较大，但考虑到项目的长期可持续性和其对老年人的生活质量产生的积极影响，该项目的投资是值得的。</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4. 可持续性：项目的设计考虑了其可持续性。通过建立一套高效、公正、透明的补贴发放和管理机制，以及定期进行审查和更新，该项目将能够在未来持续发展和改进。</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color w:val="auto"/>
          <w:kern w:val="0"/>
          <w:sz w:val="32"/>
          <w:szCs w:val="32"/>
          <w:lang w:val="en-US" w:eastAsia="zh-CN"/>
        </w:rPr>
        <w:t>四、总结与建议</w:t>
      </w:r>
    </w:p>
    <w:p>
      <w:pPr>
        <w:keepNext w:val="0"/>
        <w:keepLines w:val="0"/>
        <w:pageBreakBefore w:val="0"/>
        <w:kinsoku/>
        <w:wordWrap/>
        <w:overflowPunct/>
        <w:topLinePunct w:val="0"/>
        <w:bidi w:val="0"/>
        <w:snapToGrid/>
        <w:spacing w:line="600" w:lineRule="exact"/>
        <w:ind w:firstLine="600"/>
        <w:jc w:val="both"/>
        <w:textAlignment w:val="auto"/>
        <w:rPr>
          <w:rFonts w:hint="eastAsia" w:ascii="方正仿宋_GB2312" w:hAnsi="方正仿宋_GB2312" w:eastAsia="方正仿宋_GB2312" w:cs="方正仿宋_GB2312"/>
          <w:color w:val="auto"/>
          <w:kern w:val="0"/>
          <w:sz w:val="32"/>
          <w:szCs w:val="32"/>
          <w:lang w:val="en-US" w:eastAsia="zh-CN"/>
        </w:rPr>
      </w:pPr>
      <w:r>
        <w:rPr>
          <w:rFonts w:hint="eastAsia" w:ascii="方正仿宋_GB2312" w:hAnsi="方正仿宋_GB2312" w:eastAsia="方正仿宋_GB2312" w:cs="方正仿宋_GB2312"/>
          <w:color w:val="auto"/>
          <w:kern w:val="0"/>
          <w:sz w:val="32"/>
          <w:szCs w:val="32"/>
          <w:lang w:val="en-US" w:eastAsia="zh-CN"/>
        </w:rPr>
        <w:t>总的来说，长寿高龄补贴项目的绩效评价结果良好。该项目的实施已经取得了显著的成果，但也存在一些需要改进的地方。建议在未来加强对项目效果的监测和评估，以便更好地了解和改进项目的效果</w:t>
      </w:r>
      <w:bookmarkStart w:id="0" w:name="_GoBack"/>
      <w:bookmarkEnd w:id="0"/>
      <w:r>
        <w:rPr>
          <w:rFonts w:hint="eastAsia" w:ascii="方正仿宋_GB2312" w:hAnsi="方正仿宋_GB2312" w:eastAsia="方正仿宋_GB2312" w:cs="方正仿宋_GB2312"/>
          <w:color w:val="auto"/>
          <w:kern w:val="0"/>
          <w:sz w:val="32"/>
          <w:szCs w:val="32"/>
          <w:lang w:val="en-US" w:eastAsia="zh-CN"/>
        </w:rPr>
        <w:t>和影响。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A918415F-3A6D-4239-8743-EB8F81F965C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NTc1MTg4NTdjZDJmMWUzMjAxOWY2Y2U5YjBkMmIifQ=="/>
  </w:docVars>
  <w:rsids>
    <w:rsidRoot w:val="0FB1611A"/>
    <w:rsid w:val="0FB1611A"/>
    <w:rsid w:val="5B19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2023-09-26T02:26:00Z</dcterms:created>
  <dc:creator>曾轶哲</dc:creator>
  <cp:lastModifiedBy>曾轶哲</cp:lastModifiedBy>
  <dcterms:modified xsi:type="dcterms:W3CDTF">2023-09-26T04:05:29Z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661E10C9E7AE4DCFA287569E95C941E1_11</vt:lpwstr>
  </property>
</Properties>
</file>