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tblpXSpec="center" w:tblpY="-495"/>
        <w:tblW w:w="0" w:type="auto"/>
        <w:jc w:val="center"/>
        <w:tblLayout w:type="fixed"/>
        <w:tblCellMar>
          <w:top w:w="0" w:type="dxa"/>
          <w:left w:w="108" w:type="dxa"/>
          <w:bottom w:w="0" w:type="dxa"/>
          <w:right w:w="108" w:type="dxa"/>
        </w:tblCellMar>
      </w:tblPr>
      <w:tblGrid>
        <w:gridCol w:w="8537"/>
      </w:tblGrid>
      <w:tr>
        <w:tblPrEx>
          <w:tblCellMar>
            <w:top w:w="0" w:type="dxa"/>
            <w:left w:w="108" w:type="dxa"/>
            <w:bottom w:w="0" w:type="dxa"/>
            <w:right w:w="108" w:type="dxa"/>
          </w:tblCellMar>
        </w:tblPrEx>
        <w:trPr>
          <w:trHeight w:val="3043" w:hRule="atLeast"/>
          <w:jc w:val="center"/>
        </w:trPr>
        <w:tc>
          <w:tcPr>
            <w:tcW w:w="8537" w:type="dxa"/>
            <w:noWrap w:val="0"/>
            <w:vAlign w:val="top"/>
          </w:tcPr>
          <w:p>
            <w:pPr>
              <w:pStyle w:val="11"/>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w:t>
            </w:r>
          </w:p>
        </w:tc>
      </w:tr>
      <w:tr>
        <w:tblPrEx>
          <w:tblCellMar>
            <w:top w:w="0" w:type="dxa"/>
            <w:left w:w="108" w:type="dxa"/>
            <w:bottom w:w="0" w:type="dxa"/>
            <w:right w:w="108" w:type="dxa"/>
          </w:tblCellMar>
        </w:tblPrEx>
        <w:trPr>
          <w:trHeight w:val="1521" w:hRule="atLeast"/>
          <w:jc w:val="center"/>
        </w:trPr>
        <w:tc>
          <w:tcPr>
            <w:tcW w:w="8537" w:type="dxa"/>
            <w:tcBorders>
              <w:bottom w:val="single" w:color="4F81BD" w:sz="4" w:space="0"/>
            </w:tcBorders>
            <w:noWrap w:val="0"/>
            <w:vAlign w:val="center"/>
          </w:tcPr>
          <w:p>
            <w:pPr>
              <w:pStyle w:val="11"/>
              <w:jc w:val="center"/>
              <w:rPr>
                <w:rFonts w:ascii="Cambria" w:hAnsi="Cambria" w:cs="Cambria"/>
                <w:color w:val="000000"/>
                <w:sz w:val="80"/>
                <w:szCs w:val="80"/>
              </w:rPr>
            </w:pPr>
            <w:r>
              <w:rPr>
                <w:rFonts w:hint="eastAsia" w:ascii="Cambria" w:hAnsi="Cambria" w:cs="Cambria"/>
                <w:b/>
                <w:bCs/>
                <w:color w:val="000000"/>
                <w:sz w:val="80"/>
                <w:szCs w:val="80"/>
                <w:lang w:eastAsia="zh-CN"/>
              </w:rPr>
              <w:t>201</w:t>
            </w:r>
            <w:r>
              <w:rPr>
                <w:rFonts w:hint="eastAsia" w:ascii="Cambria" w:hAnsi="Cambria" w:cs="Cambria"/>
                <w:b/>
                <w:bCs/>
                <w:color w:val="000000"/>
                <w:sz w:val="80"/>
                <w:szCs w:val="80"/>
                <w:lang w:val="en-US" w:eastAsia="zh-CN"/>
              </w:rPr>
              <w:t>9</w:t>
            </w:r>
            <w:r>
              <w:rPr>
                <w:rFonts w:hint="eastAsia" w:ascii="Cambria" w:hAnsi="Cambria" w:cs="Cambria"/>
                <w:b/>
                <w:bCs/>
                <w:color w:val="000000"/>
                <w:sz w:val="80"/>
                <w:szCs w:val="80"/>
                <w:lang w:eastAsia="zh-CN"/>
              </w:rPr>
              <w:t>年</w:t>
            </w:r>
            <w:r>
              <w:rPr>
                <w:rFonts w:hint="eastAsia" w:ascii="Cambria" w:hAnsi="Cambria" w:cs="宋体"/>
                <w:b/>
                <w:bCs/>
                <w:color w:val="000000"/>
                <w:sz w:val="80"/>
                <w:szCs w:val="80"/>
              </w:rPr>
              <w:t>部门决算</w:t>
            </w:r>
          </w:p>
        </w:tc>
      </w:tr>
      <w:tr>
        <w:tblPrEx>
          <w:tblCellMar>
            <w:top w:w="0" w:type="dxa"/>
            <w:left w:w="108" w:type="dxa"/>
            <w:bottom w:w="0" w:type="dxa"/>
            <w:right w:w="108" w:type="dxa"/>
          </w:tblCellMar>
        </w:tblPrEx>
        <w:trPr>
          <w:trHeight w:val="761" w:hRule="atLeast"/>
          <w:jc w:val="center"/>
        </w:trPr>
        <w:tc>
          <w:tcPr>
            <w:tcW w:w="8537" w:type="dxa"/>
            <w:tcBorders>
              <w:top w:val="single" w:color="4F81BD" w:sz="4" w:space="0"/>
            </w:tcBorders>
            <w:noWrap w:val="0"/>
            <w:vAlign w:val="center"/>
          </w:tcPr>
          <w:p>
            <w:pPr>
              <w:pStyle w:val="11"/>
              <w:jc w:val="center"/>
              <w:rPr>
                <w:rFonts w:ascii="Cambria" w:hAnsi="Cambria" w:cs="Cambria"/>
                <w:color w:val="000000"/>
                <w:sz w:val="44"/>
                <w:szCs w:val="44"/>
              </w:rPr>
            </w:pPr>
          </w:p>
        </w:tc>
      </w:tr>
      <w:tr>
        <w:tblPrEx>
          <w:tblCellMar>
            <w:top w:w="0" w:type="dxa"/>
            <w:left w:w="108" w:type="dxa"/>
            <w:bottom w:w="0" w:type="dxa"/>
            <w:right w:w="108" w:type="dxa"/>
          </w:tblCellMar>
        </w:tblPrEx>
        <w:trPr>
          <w:trHeight w:val="380" w:hRule="atLeast"/>
          <w:jc w:val="center"/>
        </w:trPr>
        <w:tc>
          <w:tcPr>
            <w:tcW w:w="8537" w:type="dxa"/>
            <w:noWrap w:val="0"/>
            <w:vAlign w:val="center"/>
          </w:tcPr>
          <w:p>
            <w:pPr>
              <w:pStyle w:val="11"/>
              <w:jc w:val="center"/>
              <w:rPr>
                <w:rFonts w:cs="Times New Roman"/>
                <w:color w:val="000000"/>
              </w:rPr>
            </w:pPr>
          </w:p>
          <w:p>
            <w:pPr>
              <w:pStyle w:val="11"/>
              <w:jc w:val="center"/>
              <w:rPr>
                <w:rFonts w:cs="Times New Roman"/>
                <w:color w:val="000000"/>
              </w:rPr>
            </w:pPr>
          </w:p>
          <w:p>
            <w:pPr>
              <w:pStyle w:val="11"/>
              <w:jc w:val="center"/>
              <w:rPr>
                <w:rFonts w:cs="Times New Roman"/>
                <w:color w:val="000000"/>
              </w:rPr>
            </w:pPr>
          </w:p>
          <w:p>
            <w:pPr>
              <w:pStyle w:val="11"/>
              <w:jc w:val="center"/>
              <w:rPr>
                <w:rFonts w:cs="Times New Roman"/>
                <w:color w:val="000000"/>
              </w:rPr>
            </w:pPr>
          </w:p>
          <w:p>
            <w:pPr>
              <w:pStyle w:val="11"/>
              <w:jc w:val="center"/>
              <w:rPr>
                <w:rFonts w:cs="Times New Roman"/>
                <w:color w:val="000000"/>
              </w:rPr>
            </w:pPr>
          </w:p>
        </w:tc>
      </w:tr>
      <w:tr>
        <w:tblPrEx>
          <w:tblCellMar>
            <w:top w:w="0" w:type="dxa"/>
            <w:left w:w="108" w:type="dxa"/>
            <w:bottom w:w="0" w:type="dxa"/>
            <w:right w:w="108" w:type="dxa"/>
          </w:tblCellMar>
        </w:tblPrEx>
        <w:trPr>
          <w:trHeight w:val="1513" w:hRule="atLeast"/>
          <w:jc w:val="center"/>
        </w:trPr>
        <w:tc>
          <w:tcPr>
            <w:tcW w:w="8537" w:type="dxa"/>
            <w:noWrap w:val="0"/>
            <w:vAlign w:val="center"/>
          </w:tcPr>
          <w:p>
            <w:pPr>
              <w:pStyle w:val="11"/>
              <w:rPr>
                <w:rFonts w:cs="Times New Roman"/>
                <w:b/>
                <w:bCs/>
                <w:color w:val="000000"/>
              </w:rPr>
            </w:pPr>
          </w:p>
        </w:tc>
      </w:tr>
      <w:tr>
        <w:tblPrEx>
          <w:tblCellMar>
            <w:top w:w="0" w:type="dxa"/>
            <w:left w:w="108" w:type="dxa"/>
            <w:bottom w:w="0" w:type="dxa"/>
            <w:right w:w="108" w:type="dxa"/>
          </w:tblCellMar>
        </w:tblPrEx>
        <w:trPr>
          <w:trHeight w:val="380" w:hRule="atLeast"/>
          <w:jc w:val="center"/>
        </w:trPr>
        <w:tc>
          <w:tcPr>
            <w:tcW w:w="8537" w:type="dxa"/>
            <w:noWrap w:val="0"/>
            <w:vAlign w:val="center"/>
          </w:tcPr>
          <w:p>
            <w:pPr>
              <w:pStyle w:val="11"/>
              <w:rPr>
                <w:rFonts w:cs="Times New Roman"/>
                <w:b/>
                <w:bCs/>
                <w:color w:val="000000"/>
                <w:sz w:val="32"/>
                <w:szCs w:val="32"/>
              </w:rPr>
            </w:pPr>
          </w:p>
        </w:tc>
      </w:tr>
    </w:tbl>
    <w:p>
      <w:pPr>
        <w:widowControl/>
        <w:spacing w:line="560" w:lineRule="exact"/>
        <w:jc w:val="left"/>
        <w:rPr>
          <w:rFonts w:ascii="仿宋_GB2312" w:eastAsia="仿宋_GB2312"/>
          <w:sz w:val="28"/>
          <w:szCs w:val="28"/>
        </w:rPr>
      </w:pPr>
      <w:r>
        <w:rPr>
          <w:rFonts w:hint="eastAsia" w:ascii="仿宋_GB2312" w:eastAsia="仿宋_GB2312"/>
          <w:sz w:val="28"/>
          <w:szCs w:val="28"/>
        </w:rPr>
        <w:br w:type="page"/>
      </w:r>
    </w:p>
    <w:p>
      <w:pPr>
        <w:spacing w:line="520" w:lineRule="exact"/>
        <w:jc w:val="center"/>
        <w:rPr>
          <w:rFonts w:hint="eastAsia" w:asciiTheme="majorEastAsia" w:hAnsiTheme="majorEastAsia" w:eastAsiaTheme="majorEastAsia"/>
          <w:b/>
          <w:sz w:val="44"/>
          <w:szCs w:val="36"/>
          <w:lang w:eastAsia="zh-CN"/>
        </w:rPr>
      </w:pPr>
      <w:r>
        <w:rPr>
          <w:rFonts w:hint="eastAsia" w:asciiTheme="majorEastAsia" w:hAnsiTheme="majorEastAsia" w:eastAsiaTheme="majorEastAsia"/>
          <w:b/>
          <w:sz w:val="44"/>
          <w:szCs w:val="36"/>
          <w:lang w:eastAsia="zh-CN"/>
        </w:rPr>
        <w:t>赣州市赣县区公安局交通管理大队</w:t>
      </w:r>
    </w:p>
    <w:p>
      <w:pPr>
        <w:spacing w:line="520" w:lineRule="exact"/>
        <w:jc w:val="center"/>
        <w:rPr>
          <w:rFonts w:asciiTheme="majorEastAsia" w:hAnsiTheme="majorEastAsia" w:eastAsiaTheme="majorEastAsia"/>
          <w:b/>
          <w:sz w:val="44"/>
          <w:szCs w:val="36"/>
        </w:rPr>
      </w:pPr>
      <w:r>
        <w:rPr>
          <w:rFonts w:hint="eastAsia" w:asciiTheme="majorEastAsia" w:hAnsiTheme="majorEastAsia" w:eastAsiaTheme="majorEastAsia"/>
          <w:b/>
          <w:sz w:val="44"/>
          <w:szCs w:val="36"/>
        </w:rPr>
        <w:t>2019年部门决算</w:t>
      </w:r>
    </w:p>
    <w:p>
      <w:pPr>
        <w:spacing w:line="520" w:lineRule="exact"/>
        <w:jc w:val="center"/>
        <w:rPr>
          <w:rFonts w:asciiTheme="majorEastAsia" w:hAnsiTheme="majorEastAsia" w:eastAsiaTheme="majorEastAsia"/>
          <w:b/>
          <w:sz w:val="44"/>
          <w:szCs w:val="36"/>
        </w:rPr>
      </w:pPr>
    </w:p>
    <w:p>
      <w:pPr>
        <w:spacing w:line="520" w:lineRule="exact"/>
        <w:jc w:val="center"/>
        <w:rPr>
          <w:rFonts w:asciiTheme="majorEastAsia" w:hAnsiTheme="majorEastAsia" w:eastAsiaTheme="majorEastAsia"/>
          <w:b/>
          <w:sz w:val="40"/>
          <w:szCs w:val="36"/>
        </w:rPr>
      </w:pPr>
      <w:r>
        <w:rPr>
          <w:rFonts w:hint="eastAsia" w:asciiTheme="majorEastAsia" w:hAnsiTheme="majorEastAsia" w:eastAsiaTheme="majorEastAsia"/>
          <w:b/>
          <w:sz w:val="40"/>
          <w:szCs w:val="36"/>
        </w:rPr>
        <w:t>目    录</w:t>
      </w:r>
    </w:p>
    <w:p>
      <w:pPr>
        <w:widowControl/>
        <w:spacing w:line="520" w:lineRule="exact"/>
        <w:ind w:firstLine="640"/>
        <w:jc w:val="left"/>
        <w:rPr>
          <w:rFonts w:asciiTheme="minorEastAsia" w:hAnsiTheme="minorEastAsia" w:eastAsiaTheme="minorEastAsia"/>
          <w:sz w:val="32"/>
          <w:szCs w:val="30"/>
        </w:rPr>
      </w:pPr>
    </w:p>
    <w:p>
      <w:pPr>
        <w:widowControl/>
        <w:spacing w:line="520" w:lineRule="exact"/>
        <w:ind w:firstLine="64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第一部分  </w:t>
      </w:r>
      <w:r>
        <w:rPr>
          <w:rFonts w:hint="eastAsia" w:asciiTheme="minorEastAsia" w:hAnsiTheme="minorEastAsia" w:eastAsiaTheme="minorEastAsia"/>
          <w:b/>
          <w:sz w:val="32"/>
          <w:szCs w:val="32"/>
          <w:lang w:eastAsia="zh-CN"/>
        </w:rPr>
        <w:t>赣州市赣县区公安局交通管理大队</w:t>
      </w:r>
      <w:r>
        <w:rPr>
          <w:rFonts w:hint="eastAsia" w:asciiTheme="minorEastAsia" w:hAnsiTheme="minorEastAsia" w:eastAsiaTheme="minorEastAsia"/>
          <w:b/>
          <w:sz w:val="32"/>
          <w:szCs w:val="32"/>
        </w:rPr>
        <w:t>部门概况</w:t>
      </w:r>
    </w:p>
    <w:p>
      <w:pPr>
        <w:widowControl/>
        <w:spacing w:line="520" w:lineRule="exact"/>
        <w:ind w:firstLine="640"/>
        <w:jc w:val="left"/>
        <w:rPr>
          <w:rFonts w:asciiTheme="minorEastAsia" w:hAnsiTheme="minorEastAsia" w:eastAsiaTheme="minorEastAsia"/>
          <w:sz w:val="32"/>
          <w:szCs w:val="32"/>
        </w:rPr>
      </w:pPr>
      <w:r>
        <w:rPr>
          <w:rFonts w:hint="eastAsia" w:asciiTheme="minorEastAsia" w:hAnsiTheme="minorEastAsia" w:eastAsiaTheme="minorEastAsia"/>
          <w:b/>
          <w:sz w:val="32"/>
          <w:szCs w:val="32"/>
        </w:rPr>
        <w:t xml:space="preserve">    </w:t>
      </w:r>
      <w:r>
        <w:rPr>
          <w:rFonts w:hint="eastAsia" w:asciiTheme="minorEastAsia" w:hAnsiTheme="minorEastAsia" w:eastAsiaTheme="minorEastAsia"/>
          <w:sz w:val="32"/>
          <w:szCs w:val="32"/>
        </w:rPr>
        <w:t>一、部门主要职能</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二、部门基本情况</w:t>
      </w:r>
    </w:p>
    <w:p>
      <w:pPr>
        <w:widowControl/>
        <w:spacing w:line="520" w:lineRule="exact"/>
        <w:ind w:firstLine="64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第二部分  2019年度部门决算情况说明</w:t>
      </w:r>
    </w:p>
    <w:p>
      <w:pPr>
        <w:pStyle w:val="8"/>
        <w:widowControl/>
        <w:numPr>
          <w:ilvl w:val="0"/>
          <w:numId w:val="1"/>
        </w:numPr>
        <w:spacing w:line="520" w:lineRule="exact"/>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收入决算情况说明</w:t>
      </w:r>
    </w:p>
    <w:p>
      <w:pPr>
        <w:pStyle w:val="8"/>
        <w:widowControl/>
        <w:numPr>
          <w:ilvl w:val="0"/>
          <w:numId w:val="1"/>
        </w:numPr>
        <w:spacing w:line="520" w:lineRule="exact"/>
        <w:ind w:firstLineChars="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支出决算情况说明</w:t>
      </w:r>
    </w:p>
    <w:p>
      <w:pPr>
        <w:widowControl/>
        <w:spacing w:line="520" w:lineRule="exact"/>
        <w:ind w:firstLine="1280" w:firstLineChars="4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三、财政拨款支出决算情况说明</w:t>
      </w:r>
    </w:p>
    <w:p>
      <w:pPr>
        <w:widowControl/>
        <w:spacing w:line="520" w:lineRule="exact"/>
        <w:ind w:firstLine="1280" w:firstLineChars="4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四、机关运行经费支出情况说明</w:t>
      </w:r>
    </w:p>
    <w:p>
      <w:pPr>
        <w:widowControl/>
        <w:spacing w:line="520" w:lineRule="exact"/>
        <w:ind w:firstLine="64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五、“三公”经费支出决算情况说明</w:t>
      </w:r>
    </w:p>
    <w:p>
      <w:pPr>
        <w:widowControl/>
        <w:spacing w:line="520" w:lineRule="exact"/>
        <w:ind w:firstLine="64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六、政府采购支出情况说明</w:t>
      </w:r>
    </w:p>
    <w:p>
      <w:pPr>
        <w:spacing w:line="520" w:lineRule="exact"/>
        <w:ind w:firstLine="6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七、一般公共预算财政拨款基本支出情况说明</w:t>
      </w:r>
    </w:p>
    <w:p>
      <w:pPr>
        <w:spacing w:line="520" w:lineRule="exact"/>
        <w:ind w:firstLine="6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八、预算绩效管理工作开展情况说明</w:t>
      </w:r>
    </w:p>
    <w:p>
      <w:pPr>
        <w:spacing w:line="520" w:lineRule="exact"/>
        <w:ind w:firstLine="6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九、国有资产占用情况说明</w:t>
      </w:r>
    </w:p>
    <w:p>
      <w:pPr>
        <w:spacing w:line="52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b/>
          <w:sz w:val="32"/>
          <w:szCs w:val="32"/>
        </w:rPr>
        <w:t xml:space="preserve">第三部分  </w:t>
      </w:r>
      <w:r>
        <w:rPr>
          <w:rFonts w:hint="eastAsia" w:cs="仿宋_GB2312" w:asciiTheme="minorEastAsia" w:hAnsiTheme="minorEastAsia" w:eastAsiaTheme="minorEastAsia"/>
          <w:b/>
          <w:bCs/>
          <w:kern w:val="0"/>
          <w:sz w:val="32"/>
          <w:szCs w:val="32"/>
        </w:rPr>
        <w:t>专业名词解释</w:t>
      </w:r>
      <w:bookmarkStart w:id="0" w:name="_GoBack"/>
      <w:bookmarkEnd w:id="0"/>
    </w:p>
    <w:p>
      <w:pPr>
        <w:widowControl/>
        <w:spacing w:line="520" w:lineRule="exact"/>
        <w:ind w:firstLine="800" w:firstLineChars="25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第</w:t>
      </w:r>
      <w:r>
        <w:rPr>
          <w:rFonts w:hint="eastAsia" w:asciiTheme="minorEastAsia" w:hAnsiTheme="minorEastAsia" w:eastAsiaTheme="minorEastAsia"/>
          <w:b/>
          <w:sz w:val="32"/>
          <w:szCs w:val="32"/>
          <w:lang w:eastAsia="zh-CN"/>
        </w:rPr>
        <w:t>四</w:t>
      </w:r>
      <w:r>
        <w:rPr>
          <w:rFonts w:hint="eastAsia" w:asciiTheme="minorEastAsia" w:hAnsiTheme="minorEastAsia" w:eastAsiaTheme="minorEastAsia"/>
          <w:b/>
          <w:sz w:val="32"/>
          <w:szCs w:val="32"/>
        </w:rPr>
        <w:t>部分  2019年部门决算表</w:t>
      </w:r>
    </w:p>
    <w:p>
      <w:pPr>
        <w:widowControl/>
        <w:spacing w:line="520" w:lineRule="exact"/>
        <w:ind w:firstLine="1280" w:firstLineChars="4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一、收入支出决算总表</w:t>
      </w:r>
    </w:p>
    <w:p>
      <w:pPr>
        <w:widowControl/>
        <w:spacing w:line="520" w:lineRule="exact"/>
        <w:ind w:firstLine="1280" w:firstLineChars="4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二、收入决算表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三、支出决算表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四、</w:t>
      </w:r>
      <w:r>
        <w:rPr>
          <w:rFonts w:hint="eastAsia" w:cs="仿宋_GB2312" w:asciiTheme="minorEastAsia" w:hAnsiTheme="minorEastAsia" w:eastAsiaTheme="minorEastAsia"/>
          <w:kern w:val="0"/>
          <w:sz w:val="32"/>
          <w:szCs w:val="32"/>
        </w:rPr>
        <w:t>财政拨款收入支出决算总表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五、</w:t>
      </w:r>
      <w:r>
        <w:rPr>
          <w:rFonts w:hint="eastAsia" w:cs="仿宋_GB2312" w:asciiTheme="minorEastAsia" w:hAnsiTheme="minorEastAsia" w:eastAsiaTheme="minorEastAsia"/>
          <w:kern w:val="0"/>
          <w:sz w:val="32"/>
          <w:szCs w:val="32"/>
        </w:rPr>
        <w:t>一般公共预算财政拨款支出决算表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六、</w:t>
      </w:r>
      <w:r>
        <w:rPr>
          <w:rFonts w:hint="eastAsia" w:cs="仿宋_GB2312" w:asciiTheme="minorEastAsia" w:hAnsiTheme="minorEastAsia" w:eastAsiaTheme="minorEastAsia"/>
          <w:kern w:val="0"/>
          <w:sz w:val="32"/>
          <w:szCs w:val="32"/>
        </w:rPr>
        <w:t>一般公共预算财政拨款基本支出决算表</w:t>
      </w:r>
    </w:p>
    <w:p>
      <w:pPr>
        <w:widowControl/>
        <w:spacing w:line="520" w:lineRule="exact"/>
        <w:ind w:firstLine="640"/>
        <w:jc w:val="left"/>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七、</w:t>
      </w:r>
      <w:r>
        <w:rPr>
          <w:rFonts w:hint="eastAsia" w:cs="仿宋_GB2312" w:asciiTheme="minorEastAsia" w:hAnsiTheme="minorEastAsia" w:eastAsiaTheme="minorEastAsia"/>
          <w:kern w:val="0"/>
          <w:sz w:val="32"/>
          <w:szCs w:val="32"/>
        </w:rPr>
        <w:t>一般公共预算财政拨款“三公”经费支出决算表</w:t>
      </w:r>
    </w:p>
    <w:p>
      <w:pPr>
        <w:widowControl/>
        <w:spacing w:line="520" w:lineRule="exact"/>
        <w:ind w:firstLine="640"/>
        <w:jc w:val="left"/>
        <w:rPr>
          <w:rFonts w:cs="仿宋_GB2312"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 xml:space="preserve">    八、</w:t>
      </w:r>
      <w:r>
        <w:rPr>
          <w:rFonts w:hint="eastAsia" w:cs="仿宋_GB2312" w:asciiTheme="minorEastAsia" w:hAnsiTheme="minorEastAsia" w:eastAsiaTheme="minorEastAsia"/>
          <w:kern w:val="0"/>
          <w:sz w:val="32"/>
          <w:szCs w:val="32"/>
        </w:rPr>
        <w:t>政府性基金预算财政拨款收入支出决算表</w:t>
      </w:r>
    </w:p>
    <w:p>
      <w:pPr>
        <w:widowControl/>
        <w:spacing w:line="520" w:lineRule="exact"/>
        <w:ind w:firstLine="640"/>
        <w:jc w:val="left"/>
        <w:rPr>
          <w:rFonts w:hint="eastAsia"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 xml:space="preserve">    九、国有资产占用情况表</w:t>
      </w:r>
    </w:p>
    <w:p>
      <w:pPr>
        <w:widowControl/>
        <w:spacing w:line="520" w:lineRule="exact"/>
        <w:ind w:firstLine="640"/>
        <w:jc w:val="left"/>
        <w:rPr>
          <w:rFonts w:hint="eastAsia" w:cs="仿宋_GB2312" w:asciiTheme="minorEastAsia" w:hAnsiTheme="minorEastAsia" w:eastAsiaTheme="minorEastAsia"/>
          <w:kern w:val="0"/>
          <w:sz w:val="32"/>
          <w:szCs w:val="32"/>
        </w:rPr>
      </w:pPr>
    </w:p>
    <w:p>
      <w:pPr>
        <w:widowControl/>
        <w:spacing w:line="520" w:lineRule="exact"/>
        <w:ind w:firstLine="640"/>
        <w:jc w:val="left"/>
        <w:rPr>
          <w:rFonts w:hint="eastAsia" w:cs="仿宋_GB2312" w:asciiTheme="minorEastAsia" w:hAnsiTheme="minorEastAsia" w:eastAsiaTheme="minorEastAsia"/>
          <w:kern w:val="0"/>
          <w:sz w:val="32"/>
          <w:szCs w:val="32"/>
        </w:rPr>
      </w:pPr>
    </w:p>
    <w:p>
      <w:pPr>
        <w:widowControl/>
        <w:spacing w:line="5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第一部分  </w:t>
      </w:r>
      <w:r>
        <w:rPr>
          <w:rFonts w:hint="eastAsia" w:asciiTheme="minorEastAsia" w:hAnsiTheme="minorEastAsia" w:eastAsiaTheme="minorEastAsia"/>
          <w:b/>
          <w:sz w:val="32"/>
          <w:szCs w:val="32"/>
          <w:lang w:eastAsia="zh-CN"/>
        </w:rPr>
        <w:t>赣州市赣县区公安局交通管理大队</w:t>
      </w:r>
      <w:r>
        <w:rPr>
          <w:rFonts w:hint="eastAsia" w:asciiTheme="minorEastAsia" w:hAnsiTheme="minorEastAsia" w:eastAsiaTheme="minorEastAsia"/>
          <w:b/>
          <w:sz w:val="32"/>
          <w:szCs w:val="32"/>
        </w:rPr>
        <w:t>部门概况</w:t>
      </w:r>
    </w:p>
    <w:p>
      <w:pPr>
        <w:widowControl/>
        <w:spacing w:line="560" w:lineRule="exact"/>
        <w:jc w:val="center"/>
        <w:rPr>
          <w:rFonts w:asciiTheme="minorEastAsia" w:hAnsiTheme="minorEastAsia" w:eastAsiaTheme="minorEastAsia"/>
          <w:b/>
          <w:sz w:val="32"/>
          <w:szCs w:val="32"/>
        </w:rPr>
      </w:pP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一、部门主要职能</w:t>
      </w:r>
    </w:p>
    <w:p>
      <w:pPr>
        <w:spacing w:line="560" w:lineRule="exact"/>
        <w:ind w:firstLine="63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主</w:t>
      </w:r>
      <w:r>
        <w:rPr>
          <w:rFonts w:hint="eastAsia" w:asciiTheme="minorEastAsia" w:hAnsiTheme="minorEastAsia" w:eastAsiaTheme="minorEastAsia"/>
          <w:sz w:val="32"/>
          <w:szCs w:val="32"/>
        </w:rPr>
        <w:t>要职责是处理和预防全</w:t>
      </w:r>
      <w:r>
        <w:rPr>
          <w:rFonts w:hint="eastAsia" w:asciiTheme="minorEastAsia" w:hAnsiTheme="minorEastAsia" w:eastAsiaTheme="minorEastAsia"/>
          <w:sz w:val="32"/>
          <w:szCs w:val="32"/>
          <w:lang w:eastAsia="zh-CN"/>
        </w:rPr>
        <w:t>区</w:t>
      </w:r>
      <w:r>
        <w:rPr>
          <w:rFonts w:hint="eastAsia" w:asciiTheme="minorEastAsia" w:hAnsiTheme="minorEastAsia" w:eastAsiaTheme="minorEastAsia"/>
          <w:sz w:val="32"/>
          <w:szCs w:val="32"/>
        </w:rPr>
        <w:t>道路交通事故、维护全</w:t>
      </w:r>
      <w:r>
        <w:rPr>
          <w:rFonts w:hint="eastAsia" w:asciiTheme="minorEastAsia" w:hAnsiTheme="minorEastAsia" w:eastAsiaTheme="minorEastAsia"/>
          <w:sz w:val="32"/>
          <w:szCs w:val="32"/>
          <w:lang w:eastAsia="zh-CN"/>
        </w:rPr>
        <w:t>区</w:t>
      </w:r>
      <w:r>
        <w:rPr>
          <w:rFonts w:hint="eastAsia" w:asciiTheme="minorEastAsia" w:hAnsiTheme="minorEastAsia" w:eastAsiaTheme="minorEastAsia"/>
          <w:sz w:val="32"/>
          <w:szCs w:val="32"/>
        </w:rPr>
        <w:t>道路交通秩序、查出和纠正交通违章。</w:t>
      </w:r>
    </w:p>
    <w:p>
      <w:pPr>
        <w:spacing w:line="560" w:lineRule="exact"/>
        <w:ind w:firstLine="63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2．办理机动车牌照和驾驶人证照</w:t>
      </w:r>
      <w:r>
        <w:rPr>
          <w:rFonts w:hint="eastAsia" w:asciiTheme="minorEastAsia" w:hAnsiTheme="minorEastAsia" w:eastAsiaTheme="minorEastAsia"/>
          <w:sz w:val="32"/>
          <w:szCs w:val="32"/>
          <w:lang w:eastAsia="zh-CN"/>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二、部门决算单位基本情况</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纳入本套部门决算汇编范围的单位共 </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本部门2019年年末编制人数</w:t>
      </w:r>
      <w:r>
        <w:rPr>
          <w:rFonts w:hint="eastAsia" w:asciiTheme="minorEastAsia" w:hAnsiTheme="minorEastAsia" w:eastAsiaTheme="minorEastAsia"/>
          <w:color w:val="FF0000"/>
          <w:sz w:val="32"/>
          <w:szCs w:val="32"/>
          <w:lang w:val="en-US" w:eastAsia="zh-CN"/>
        </w:rPr>
        <w:t>36</w:t>
      </w:r>
      <w:r>
        <w:rPr>
          <w:rFonts w:hint="eastAsia" w:asciiTheme="minorEastAsia" w:hAnsiTheme="minorEastAsia" w:eastAsiaTheme="minorEastAsia"/>
          <w:sz w:val="32"/>
          <w:szCs w:val="32"/>
        </w:rPr>
        <w:t>人；年末实有人数</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人，其中在职人员</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人，离休人员</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人，退休人员</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年末遗属人员</w:t>
      </w:r>
      <w:r>
        <w:rPr>
          <w:rFonts w:hint="eastAsia" w:asciiTheme="minorEastAsia" w:hAnsiTheme="minorEastAsia" w:eastAsiaTheme="minorEastAsia"/>
          <w:sz w:val="32"/>
          <w:szCs w:val="32"/>
          <w:lang w:val="en-US" w:eastAsia="zh-CN"/>
        </w:rPr>
        <w:t>1人；</w:t>
      </w:r>
      <w:r>
        <w:rPr>
          <w:rFonts w:hint="eastAsia" w:asciiTheme="minorEastAsia" w:hAnsiTheme="minorEastAsia" w:eastAsiaTheme="minorEastAsia"/>
          <w:sz w:val="32"/>
          <w:szCs w:val="32"/>
        </w:rPr>
        <w:t>年末</w:t>
      </w:r>
      <w:r>
        <w:rPr>
          <w:rFonts w:hint="eastAsia" w:asciiTheme="minorEastAsia" w:hAnsiTheme="minorEastAsia" w:eastAsiaTheme="minorEastAsia"/>
          <w:sz w:val="32"/>
          <w:szCs w:val="32"/>
          <w:lang w:eastAsia="zh-CN"/>
        </w:rPr>
        <w:t>临聘</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175</w:t>
      </w:r>
      <w:r>
        <w:rPr>
          <w:rFonts w:hint="eastAsia" w:asciiTheme="minorEastAsia" w:hAnsiTheme="minorEastAsia" w:eastAsiaTheme="minorEastAsia"/>
          <w:sz w:val="32"/>
          <w:szCs w:val="32"/>
        </w:rPr>
        <w:t>人。</w:t>
      </w:r>
    </w:p>
    <w:p>
      <w:pPr>
        <w:spacing w:line="560" w:lineRule="exact"/>
        <w:ind w:firstLine="630"/>
        <w:jc w:val="left"/>
        <w:rPr>
          <w:rFonts w:asciiTheme="minorEastAsia" w:hAnsiTheme="minorEastAsia" w:eastAsiaTheme="minorEastAsia"/>
          <w:sz w:val="32"/>
          <w:szCs w:val="32"/>
        </w:rPr>
      </w:pPr>
    </w:p>
    <w:p>
      <w:pPr>
        <w:widowControl/>
        <w:spacing w:line="560" w:lineRule="exact"/>
        <w:ind w:firstLine="64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第二部分  </w:t>
      </w:r>
      <w:r>
        <w:rPr>
          <w:rFonts w:hint="eastAsia" w:asciiTheme="minorEastAsia" w:hAnsiTheme="minorEastAsia" w:eastAsiaTheme="minorEastAsia"/>
          <w:b/>
          <w:sz w:val="32"/>
          <w:szCs w:val="32"/>
          <w:lang w:eastAsia="zh-CN"/>
        </w:rPr>
        <w:t>赣州市赣县区公安局交通管理大队</w:t>
      </w:r>
      <w:r>
        <w:rPr>
          <w:rFonts w:hint="eastAsia" w:asciiTheme="minorEastAsia" w:hAnsiTheme="minorEastAsia" w:eastAsiaTheme="minorEastAsia"/>
          <w:b/>
          <w:sz w:val="32"/>
          <w:szCs w:val="32"/>
        </w:rPr>
        <w:t>2019年部门决算情况说明</w:t>
      </w:r>
    </w:p>
    <w:p>
      <w:pPr>
        <w:widowControl/>
        <w:spacing w:line="560" w:lineRule="exact"/>
        <w:ind w:firstLine="640"/>
        <w:jc w:val="center"/>
        <w:rPr>
          <w:rFonts w:asciiTheme="minorEastAsia" w:hAnsiTheme="minorEastAsia" w:eastAsiaTheme="minorEastAsia"/>
          <w:b/>
          <w:sz w:val="32"/>
          <w:szCs w:val="32"/>
        </w:rPr>
      </w:pP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一、收入决算情况说明</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本部门2019年度收入总计4425.39万元，其中上年结转和结余116.05万元；本年收入合计4309.35万元，较上年增长</w:t>
      </w:r>
      <w:r>
        <w:rPr>
          <w:rFonts w:hint="eastAsia" w:asciiTheme="minorEastAsia" w:hAnsiTheme="minorEastAsia" w:eastAsiaTheme="minorEastAsia"/>
          <w:sz w:val="32"/>
          <w:szCs w:val="32"/>
          <w:lang w:val="en-US" w:eastAsia="zh-CN"/>
        </w:rPr>
        <w:t xml:space="preserve">6.76 </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非税收入增加</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本年收入的具体构成为：财政拨款收入3998.87万元，占</w:t>
      </w:r>
      <w:r>
        <w:rPr>
          <w:rFonts w:hint="eastAsia" w:asciiTheme="minorEastAsia" w:hAnsiTheme="minorEastAsia" w:eastAsiaTheme="minorEastAsia"/>
          <w:sz w:val="32"/>
          <w:szCs w:val="32"/>
          <w:lang w:val="en-US" w:eastAsia="zh-CN"/>
        </w:rPr>
        <w:t xml:space="preserve">92.8 </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%；其他收入310.48万元，占</w:t>
      </w:r>
      <w:r>
        <w:rPr>
          <w:rFonts w:hint="eastAsia" w:asciiTheme="minorEastAsia" w:hAnsiTheme="minorEastAsia" w:eastAsiaTheme="minorEastAsia"/>
          <w:sz w:val="32"/>
          <w:szCs w:val="32"/>
          <w:lang w:val="en-US" w:eastAsia="zh-CN"/>
        </w:rPr>
        <w:t xml:space="preserve">7.2 </w:t>
      </w:r>
      <w:r>
        <w:rPr>
          <w:rFonts w:hint="eastAsia" w:asciiTheme="minorEastAsia" w:hAnsiTheme="minorEastAsia" w:eastAsiaTheme="minorEastAsia"/>
          <w:sz w:val="32"/>
          <w:szCs w:val="32"/>
        </w:rPr>
        <w:t xml:space="preserve">%。  </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二、支出决算情况说明</w:t>
      </w:r>
    </w:p>
    <w:p>
      <w:pPr>
        <w:spacing w:line="560" w:lineRule="exact"/>
        <w:ind w:firstLine="480" w:firstLineChars="15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本部门2019年度支出总计</w:t>
      </w:r>
      <w:r>
        <w:rPr>
          <w:rFonts w:hint="eastAsia" w:asciiTheme="minorEastAsia" w:hAnsiTheme="minorEastAsia" w:eastAsiaTheme="minorEastAsia"/>
          <w:sz w:val="32"/>
          <w:szCs w:val="32"/>
          <w:lang w:val="en-US" w:eastAsia="zh-CN"/>
        </w:rPr>
        <w:t>4425.39</w:t>
      </w:r>
      <w:r>
        <w:rPr>
          <w:rFonts w:hint="eastAsia" w:asciiTheme="minorEastAsia" w:hAnsiTheme="minorEastAsia" w:eastAsiaTheme="minorEastAsia"/>
          <w:sz w:val="32"/>
          <w:szCs w:val="32"/>
        </w:rPr>
        <w:t xml:space="preserve">万元，其中本年支出合计   </w:t>
      </w:r>
      <w:r>
        <w:rPr>
          <w:rFonts w:hint="eastAsia" w:asciiTheme="minorEastAsia" w:hAnsiTheme="minorEastAsia" w:eastAsiaTheme="minorEastAsia"/>
          <w:sz w:val="32"/>
          <w:szCs w:val="32"/>
          <w:lang w:val="en-US" w:eastAsia="zh-CN"/>
        </w:rPr>
        <w:t>3937.33</w:t>
      </w:r>
      <w:r>
        <w:rPr>
          <w:rFonts w:hint="eastAsia" w:asciiTheme="minorEastAsia" w:hAnsiTheme="minorEastAsia" w:eastAsiaTheme="minorEastAsia"/>
          <w:sz w:val="32"/>
          <w:szCs w:val="32"/>
        </w:rPr>
        <w:t>万元，较上年</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 xml:space="preserve">0.43 </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公共安全支出增加</w:t>
      </w:r>
      <w:r>
        <w:rPr>
          <w:rFonts w:hint="eastAsia" w:asciiTheme="minorEastAsia" w:hAnsiTheme="minorEastAsia" w:eastAsiaTheme="minorEastAsia"/>
          <w:sz w:val="32"/>
          <w:szCs w:val="32"/>
        </w:rPr>
        <w:t>；年末结转和结余488.06万元，较上年增长</w:t>
      </w:r>
      <w:r>
        <w:rPr>
          <w:rFonts w:hint="eastAsia" w:asciiTheme="minorEastAsia" w:hAnsiTheme="minorEastAsia" w:eastAsiaTheme="minorEastAsia"/>
          <w:sz w:val="32"/>
          <w:szCs w:val="32"/>
          <w:lang w:val="en-US" w:eastAsia="zh-CN"/>
        </w:rPr>
        <w:t xml:space="preserve">320.56 </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城区道路交通安全设施建设工程款及工程质保金未支付</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本年支出的具体构成为：基本支出3937.33万元，占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 xml:space="preserve">0 </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 xml:space="preserve">0 </w:t>
      </w:r>
      <w:r>
        <w:rPr>
          <w:rFonts w:hint="eastAsia" w:asciiTheme="minorEastAsia" w:hAnsiTheme="minorEastAsia" w:eastAsiaTheme="minorEastAsia"/>
          <w:sz w:val="32"/>
          <w:szCs w:val="32"/>
        </w:rPr>
        <w:t>%；其他支出（对附属单位补助支出、上缴上级支出）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 xml:space="preserve">0 </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三、财政拨款支出决算情况说明</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本部门2019年度财政拨款本年支出年初预算数为</w:t>
      </w:r>
      <w:r>
        <w:rPr>
          <w:rFonts w:hint="eastAsia" w:asciiTheme="minorEastAsia" w:hAnsiTheme="minorEastAsia" w:eastAsiaTheme="minorEastAsia"/>
          <w:sz w:val="32"/>
          <w:szCs w:val="32"/>
          <w:lang w:val="en-US" w:eastAsia="zh-CN"/>
        </w:rPr>
        <w:t>3626.85</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3626.85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 xml:space="preserve">100 </w:t>
      </w:r>
      <w:r>
        <w:rPr>
          <w:rFonts w:hint="eastAsia" w:asciiTheme="minorEastAsia" w:hAnsiTheme="minorEastAsia" w:eastAsiaTheme="minorEastAsia"/>
          <w:sz w:val="32"/>
          <w:szCs w:val="32"/>
        </w:rPr>
        <w:t>%。其中：</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（一）一般公共服务支出年初预算数为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 xml:space="preserve">0 </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按年初预算执行</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（二）公共安全支出年初预算数为</w:t>
      </w:r>
      <w:r>
        <w:rPr>
          <w:rFonts w:hint="eastAsia" w:asciiTheme="minorEastAsia" w:hAnsiTheme="minorEastAsia" w:eastAsiaTheme="minorEastAsia"/>
          <w:sz w:val="32"/>
          <w:szCs w:val="32"/>
          <w:lang w:val="en-US" w:eastAsia="zh-CN"/>
        </w:rPr>
        <w:t>3508.42</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3508.42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按年初预算执行</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四、机关运行经费情况说明</w:t>
      </w:r>
    </w:p>
    <w:p>
      <w:pPr>
        <w:autoSpaceDE w:val="0"/>
        <w:autoSpaceDN w:val="0"/>
        <w:adjustRightInd w:val="0"/>
        <w:spacing w:line="560" w:lineRule="exact"/>
        <w:ind w:firstLine="640" w:firstLineChars="200"/>
        <w:jc w:val="left"/>
        <w:rPr>
          <w:rFonts w:cs="仿宋_GB2312" w:asciiTheme="minorEastAsia" w:hAnsiTheme="minorEastAsia" w:eastAsiaTheme="minorEastAsia"/>
          <w:kern w:val="0"/>
          <w:sz w:val="32"/>
          <w:szCs w:val="32"/>
        </w:rPr>
      </w:pPr>
      <w:r>
        <w:rPr>
          <w:rFonts w:hint="eastAsia" w:cs="仿宋_GB2312" w:asciiTheme="minorEastAsia" w:hAnsiTheme="minorEastAsia" w:eastAsiaTheme="minorEastAsia"/>
          <w:kern w:val="0"/>
          <w:sz w:val="32"/>
          <w:szCs w:val="32"/>
        </w:rPr>
        <w:t>本部门2019 年度机关运行经费支出</w:t>
      </w:r>
      <w:r>
        <w:rPr>
          <w:rFonts w:hint="eastAsia" w:cs="仿宋_GB2312" w:asciiTheme="minorEastAsia" w:hAnsiTheme="minorEastAsia" w:eastAsiaTheme="minorEastAsia"/>
          <w:kern w:val="0"/>
          <w:sz w:val="32"/>
          <w:szCs w:val="32"/>
          <w:lang w:val="en-US" w:eastAsia="zh-CN"/>
        </w:rPr>
        <w:t>659.66</w:t>
      </w:r>
      <w:r>
        <w:rPr>
          <w:rFonts w:hint="eastAsia" w:cs="仿宋_GB2312" w:asciiTheme="minorEastAsia" w:hAnsiTheme="minorEastAsia" w:eastAsiaTheme="minorEastAsia"/>
          <w:kern w:val="0"/>
          <w:sz w:val="32"/>
          <w:szCs w:val="32"/>
        </w:rPr>
        <w:t>万元，比201</w:t>
      </w:r>
      <w:r>
        <w:rPr>
          <w:rFonts w:hint="eastAsia" w:cs="仿宋_GB2312" w:asciiTheme="minorEastAsia" w:hAnsiTheme="minorEastAsia" w:eastAsiaTheme="minorEastAsia"/>
          <w:kern w:val="0"/>
          <w:sz w:val="32"/>
          <w:szCs w:val="32"/>
          <w:lang w:val="en-US" w:eastAsia="zh-CN"/>
        </w:rPr>
        <w:t>8</w:t>
      </w:r>
      <w:r>
        <w:rPr>
          <w:rFonts w:hint="eastAsia" w:cs="仿宋_GB2312" w:asciiTheme="minorEastAsia" w:hAnsiTheme="minorEastAsia" w:eastAsiaTheme="minorEastAsia"/>
          <w:kern w:val="0"/>
          <w:sz w:val="32"/>
          <w:szCs w:val="32"/>
        </w:rPr>
        <w:t>年</w:t>
      </w:r>
      <w:r>
        <w:rPr>
          <w:rFonts w:hint="eastAsia" w:cs="仿宋_GB2312" w:asciiTheme="minorEastAsia" w:hAnsiTheme="minorEastAsia" w:eastAsiaTheme="minorEastAsia"/>
          <w:kern w:val="0"/>
          <w:sz w:val="32"/>
          <w:szCs w:val="32"/>
          <w:lang w:eastAsia="zh-CN"/>
        </w:rPr>
        <w:t>减少</w:t>
      </w:r>
      <w:r>
        <w:rPr>
          <w:rFonts w:hint="eastAsia" w:cs="仿宋_GB2312" w:asciiTheme="minorEastAsia" w:hAnsiTheme="minorEastAsia" w:eastAsiaTheme="minorEastAsia"/>
          <w:kern w:val="0"/>
          <w:sz w:val="32"/>
          <w:szCs w:val="32"/>
          <w:lang w:val="en-US" w:eastAsia="zh-CN"/>
        </w:rPr>
        <w:t>83.71</w:t>
      </w:r>
      <w:r>
        <w:rPr>
          <w:rFonts w:hint="eastAsia" w:cs="仿宋_GB2312" w:asciiTheme="minorEastAsia" w:hAnsiTheme="minorEastAsia" w:eastAsiaTheme="minorEastAsia"/>
          <w:kern w:val="0"/>
          <w:sz w:val="32"/>
          <w:szCs w:val="32"/>
        </w:rPr>
        <w:t>万元，</w:t>
      </w:r>
      <w:r>
        <w:rPr>
          <w:rFonts w:hint="eastAsia" w:cs="仿宋_GB2312" w:asciiTheme="minorEastAsia" w:hAnsiTheme="minorEastAsia" w:eastAsiaTheme="minorEastAsia"/>
          <w:kern w:val="0"/>
          <w:sz w:val="32"/>
          <w:szCs w:val="32"/>
          <w:lang w:eastAsia="zh-CN"/>
        </w:rPr>
        <w:t>下降</w:t>
      </w:r>
      <w:r>
        <w:rPr>
          <w:rFonts w:hint="eastAsia" w:cs="仿宋_GB2312" w:asciiTheme="minorEastAsia" w:hAnsiTheme="minorEastAsia" w:eastAsiaTheme="minorEastAsia"/>
          <w:kern w:val="0"/>
          <w:sz w:val="32"/>
          <w:szCs w:val="32"/>
          <w:lang w:val="en-US" w:eastAsia="zh-CN"/>
        </w:rPr>
        <w:t xml:space="preserve">11.26 </w:t>
      </w:r>
      <w:r>
        <w:rPr>
          <w:rFonts w:hint="eastAsia" w:cs="仿宋_GB2312" w:asciiTheme="minorEastAsia" w:hAnsiTheme="minorEastAsia" w:eastAsiaTheme="minorEastAsia"/>
          <w:kern w:val="0"/>
          <w:sz w:val="32"/>
          <w:szCs w:val="32"/>
        </w:rPr>
        <w:t>%。主要原因是：</w:t>
      </w:r>
      <w:r>
        <w:rPr>
          <w:rFonts w:hint="eastAsia" w:cs="仿宋_GB2312" w:asciiTheme="minorEastAsia" w:hAnsiTheme="minorEastAsia" w:eastAsiaTheme="minorEastAsia"/>
          <w:kern w:val="0"/>
          <w:sz w:val="32"/>
          <w:szCs w:val="32"/>
          <w:lang w:eastAsia="zh-CN"/>
        </w:rPr>
        <w:t>厉行节约</w:t>
      </w:r>
      <w:r>
        <w:rPr>
          <w:rFonts w:hint="eastAsia" w:cs="仿宋_GB2312" w:asciiTheme="minorEastAsia" w:hAnsiTheme="minorEastAsia" w:eastAsiaTheme="minorEastAsia"/>
          <w:kern w:val="0"/>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五、“三公”经费支出决算情况说明</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本部门2019年度“三公”经费支出年初预算数为</w:t>
      </w:r>
      <w:r>
        <w:rPr>
          <w:rFonts w:hint="eastAsia" w:asciiTheme="minorEastAsia" w:hAnsiTheme="minorEastAsia" w:eastAsiaTheme="minorEastAsia"/>
          <w:sz w:val="32"/>
          <w:szCs w:val="32"/>
          <w:lang w:val="en-US" w:eastAsia="zh-CN"/>
        </w:rPr>
        <w:t>225</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126.93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56.41</w:t>
      </w:r>
      <w:r>
        <w:rPr>
          <w:rFonts w:hint="eastAsia" w:asciiTheme="minorEastAsia" w:hAnsiTheme="minorEastAsia" w:eastAsiaTheme="minorEastAsia"/>
          <w:sz w:val="32"/>
          <w:szCs w:val="32"/>
        </w:rPr>
        <w:t>%，决算数较上年下降</w:t>
      </w:r>
      <w:r>
        <w:rPr>
          <w:rFonts w:hint="eastAsia" w:asciiTheme="minorEastAsia" w:hAnsiTheme="minorEastAsia" w:eastAsiaTheme="minorEastAsia"/>
          <w:sz w:val="32"/>
          <w:szCs w:val="32"/>
          <w:lang w:val="en-US" w:eastAsia="zh-CN"/>
        </w:rPr>
        <w:t>38.89</w:t>
      </w:r>
      <w:r>
        <w:rPr>
          <w:rFonts w:hint="eastAsia" w:asciiTheme="minorEastAsia" w:hAnsiTheme="minorEastAsia" w:eastAsiaTheme="minorEastAsia"/>
          <w:sz w:val="32"/>
          <w:szCs w:val="32"/>
        </w:rPr>
        <w:t xml:space="preserve"> %，其中：</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（一）因公出国（境）支出年初预算数为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 xml:space="preserve">0 </w:t>
      </w:r>
      <w:r>
        <w:rPr>
          <w:rFonts w:hint="eastAsia" w:asciiTheme="minorEastAsia" w:hAnsiTheme="minorEastAsia" w:eastAsiaTheme="minorEastAsia"/>
          <w:sz w:val="32"/>
          <w:szCs w:val="32"/>
        </w:rPr>
        <w:t>%，决算数较上年增长（下降）</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（二）公务接待费支出年初预算数为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0.67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 xml:space="preserve">13.4 </w:t>
      </w:r>
      <w:r>
        <w:rPr>
          <w:rFonts w:hint="eastAsia" w:asciiTheme="minorEastAsia" w:hAnsiTheme="minorEastAsia" w:eastAsiaTheme="minorEastAsia"/>
          <w:sz w:val="32"/>
          <w:szCs w:val="32"/>
        </w:rPr>
        <w:t>%，决算数较上年增长下降</w:t>
      </w:r>
      <w:r>
        <w:rPr>
          <w:rFonts w:hint="eastAsia" w:asciiTheme="minorEastAsia" w:hAnsiTheme="minorEastAsia" w:eastAsiaTheme="minorEastAsia"/>
          <w:sz w:val="32"/>
          <w:szCs w:val="32"/>
          <w:lang w:val="en-US" w:eastAsia="zh-CN"/>
        </w:rPr>
        <w:t>52.14</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厉行节约</w:t>
      </w:r>
      <w:r>
        <w:rPr>
          <w:rFonts w:hint="eastAsia" w:asciiTheme="minorEastAsia" w:hAnsiTheme="minorEastAsia" w:eastAsiaTheme="minorEastAsia"/>
          <w:sz w:val="32"/>
          <w:szCs w:val="32"/>
        </w:rPr>
        <w:t>。</w:t>
      </w:r>
    </w:p>
    <w:p>
      <w:pPr>
        <w:spacing w:line="560" w:lineRule="exact"/>
        <w:ind w:firstLine="630"/>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（三）公务用车购置及运行维护费支出</w:t>
      </w:r>
      <w:r>
        <w:rPr>
          <w:rFonts w:hint="eastAsia" w:asciiTheme="minorEastAsia" w:hAnsiTheme="minorEastAsia" w:eastAsiaTheme="minorEastAsia"/>
          <w:sz w:val="32"/>
          <w:szCs w:val="32"/>
          <w:lang w:val="en-US" w:eastAsia="zh-CN"/>
        </w:rPr>
        <w:t>126.27</w:t>
      </w:r>
      <w:r>
        <w:rPr>
          <w:rFonts w:hint="eastAsia" w:asciiTheme="minorEastAsia" w:hAnsiTheme="minorEastAsia" w:eastAsiaTheme="minorEastAsia"/>
          <w:sz w:val="32"/>
          <w:szCs w:val="32"/>
        </w:rPr>
        <w:t>万元，其中公务用车购置年初预算数为</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58.45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38.97</w:t>
      </w:r>
      <w:r>
        <w:rPr>
          <w:rFonts w:hint="eastAsia" w:asciiTheme="minorEastAsia" w:hAnsiTheme="minorEastAsia" w:eastAsiaTheme="minorEastAsia"/>
          <w:sz w:val="32"/>
          <w:szCs w:val="32"/>
        </w:rPr>
        <w:t xml:space="preserve"> %，决算数较上年下降</w:t>
      </w:r>
      <w:r>
        <w:rPr>
          <w:rFonts w:hint="eastAsia" w:asciiTheme="minorEastAsia" w:hAnsiTheme="minorEastAsia" w:eastAsiaTheme="minorEastAsia"/>
          <w:sz w:val="32"/>
          <w:szCs w:val="32"/>
          <w:lang w:val="en-US" w:eastAsia="zh-CN"/>
        </w:rPr>
        <w:t>60.98</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购置减少</w:t>
      </w:r>
      <w:r>
        <w:rPr>
          <w:rFonts w:hint="eastAsia" w:asciiTheme="minorEastAsia" w:hAnsiTheme="minorEastAsia" w:eastAsiaTheme="minorEastAsia"/>
          <w:sz w:val="32"/>
          <w:szCs w:val="32"/>
        </w:rPr>
        <w:t>；公务用车运行维护费支出年初预算数为</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万元，决算数为</w:t>
      </w:r>
      <w:r>
        <w:rPr>
          <w:rFonts w:hint="eastAsia" w:asciiTheme="minorEastAsia" w:hAnsiTheme="minorEastAsia" w:eastAsiaTheme="minorEastAsia"/>
          <w:sz w:val="32"/>
          <w:szCs w:val="32"/>
          <w:lang w:val="en-US" w:eastAsia="zh-CN"/>
        </w:rPr>
        <w:t>67.82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96.89</w:t>
      </w:r>
      <w:r>
        <w:rPr>
          <w:rFonts w:hint="eastAsia" w:asciiTheme="minorEastAsia" w:hAnsiTheme="minorEastAsia" w:eastAsiaTheme="minorEastAsia"/>
          <w:sz w:val="32"/>
          <w:szCs w:val="32"/>
        </w:rPr>
        <w:t xml:space="preserve"> %，决算数较上年增长</w:t>
      </w:r>
      <w:r>
        <w:rPr>
          <w:rFonts w:hint="eastAsia" w:asciiTheme="minorEastAsia" w:hAnsiTheme="minorEastAsia" w:eastAsiaTheme="minorEastAsia"/>
          <w:sz w:val="32"/>
          <w:szCs w:val="32"/>
          <w:lang w:val="en-US" w:eastAsia="zh-CN"/>
        </w:rPr>
        <w:t>20.01</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新增公务用车</w:t>
      </w:r>
      <w:r>
        <w:rPr>
          <w:rFonts w:hint="eastAsia" w:asciiTheme="minorEastAsia" w:hAnsiTheme="minorEastAsia" w:eastAsiaTheme="minorEastAsia"/>
          <w:sz w:val="32"/>
          <w:szCs w:val="32"/>
        </w:rPr>
        <w:t>。</w:t>
      </w:r>
    </w:p>
    <w:p>
      <w:pPr>
        <w:spacing w:line="560" w:lineRule="exact"/>
        <w:ind w:firstLine="600"/>
        <w:rPr>
          <w:rFonts w:asciiTheme="minorEastAsia" w:hAnsiTheme="minorEastAsia" w:eastAsiaTheme="minorEastAsia"/>
          <w:bCs/>
          <w:sz w:val="32"/>
          <w:szCs w:val="32"/>
        </w:rPr>
      </w:pPr>
      <w:r>
        <w:rPr>
          <w:rFonts w:hint="eastAsia" w:asciiTheme="minorEastAsia" w:hAnsiTheme="minorEastAsia" w:eastAsiaTheme="minorEastAsia"/>
          <w:bCs/>
          <w:sz w:val="32"/>
          <w:szCs w:val="32"/>
        </w:rPr>
        <w:t>六、政府采购支出情况说明</w:t>
      </w:r>
    </w:p>
    <w:p>
      <w:pPr>
        <w:spacing w:line="560" w:lineRule="exact"/>
        <w:ind w:firstLine="630"/>
        <w:jc w:val="left"/>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本部门2019 年度政府采购支出总额</w:t>
      </w:r>
      <w:r>
        <w:rPr>
          <w:rFonts w:hint="eastAsia" w:asciiTheme="minorEastAsia" w:hAnsiTheme="minorEastAsia" w:eastAsiaTheme="minorEastAsia"/>
          <w:sz w:val="32"/>
          <w:szCs w:val="32"/>
          <w:lang w:val="en-US" w:eastAsia="zh-CN"/>
        </w:rPr>
        <w:t>734.67</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643.27</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91.4</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734.67</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 xml:space="preserve">100 </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30.39</w:t>
      </w:r>
      <w:r>
        <w:rPr>
          <w:rFonts w:hint="eastAsia" w:asciiTheme="minorEastAsia" w:hAnsiTheme="minorEastAsia" w:eastAsiaTheme="minorEastAsia"/>
          <w:sz w:val="32"/>
          <w:szCs w:val="32"/>
        </w:rPr>
        <w:t xml:space="preserve"> 万元，占政府采购支出总额的</w:t>
      </w:r>
      <w:r>
        <w:rPr>
          <w:rFonts w:hint="eastAsia" w:asciiTheme="minorEastAsia" w:hAnsiTheme="minorEastAsia" w:eastAsiaTheme="minorEastAsia"/>
          <w:sz w:val="32"/>
          <w:szCs w:val="32"/>
          <w:lang w:val="en-US" w:eastAsia="zh-CN"/>
        </w:rPr>
        <w:t xml:space="preserve">4.14 </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 xml:space="preserve">  </w:t>
      </w:r>
    </w:p>
    <w:p>
      <w:pPr>
        <w:spacing w:line="560" w:lineRule="exact"/>
        <w:ind w:firstLine="600"/>
        <w:rPr>
          <w:rFonts w:asciiTheme="minorEastAsia" w:hAnsiTheme="minorEastAsia" w:eastAsiaTheme="minorEastAsia"/>
          <w:bCs/>
          <w:sz w:val="32"/>
          <w:szCs w:val="32"/>
        </w:rPr>
      </w:pPr>
      <w:r>
        <w:rPr>
          <w:rFonts w:hint="eastAsia" w:asciiTheme="minorEastAsia" w:hAnsiTheme="minorEastAsia" w:eastAsiaTheme="minorEastAsia"/>
          <w:bCs/>
          <w:sz w:val="32"/>
          <w:szCs w:val="32"/>
        </w:rPr>
        <w:t>七、一般公共预算财政拨款基本支出决算情况说明</w:t>
      </w:r>
    </w:p>
    <w:p>
      <w:pPr>
        <w:spacing w:line="560" w:lineRule="exact"/>
        <w:ind w:firstLine="585"/>
        <w:jc w:val="left"/>
        <w:rPr>
          <w:rFonts w:asciiTheme="minorEastAsia" w:hAnsiTheme="minorEastAsia" w:eastAsiaTheme="minorEastAsia"/>
          <w:sz w:val="32"/>
          <w:szCs w:val="32"/>
        </w:rPr>
      </w:pPr>
      <w:r>
        <w:rPr>
          <w:rFonts w:hint="eastAsia" w:asciiTheme="minorEastAsia" w:hAnsiTheme="minorEastAsia" w:eastAsiaTheme="minorEastAsia"/>
          <w:sz w:val="32"/>
          <w:szCs w:val="32"/>
        </w:rPr>
        <w:t>本部门2019年度一般公共预算财政拨款基本支出</w:t>
      </w:r>
      <w:r>
        <w:rPr>
          <w:rFonts w:hint="eastAsia" w:asciiTheme="minorEastAsia" w:hAnsiTheme="minorEastAsia" w:eastAsiaTheme="minorEastAsia"/>
          <w:sz w:val="32"/>
          <w:szCs w:val="32"/>
          <w:lang w:val="en-US" w:eastAsia="zh-CN"/>
        </w:rPr>
        <w:t>3626.85</w:t>
      </w:r>
      <w:r>
        <w:rPr>
          <w:rFonts w:hint="eastAsia" w:asciiTheme="minorEastAsia" w:hAnsiTheme="minorEastAsia" w:eastAsiaTheme="minorEastAsia"/>
          <w:sz w:val="32"/>
          <w:szCs w:val="32"/>
        </w:rPr>
        <w:t>万元，其中：</w:t>
      </w:r>
    </w:p>
    <w:p>
      <w:pPr>
        <w:spacing w:line="560" w:lineRule="exact"/>
        <w:ind w:firstLine="585"/>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（一）工资福利支出1211.57万元，较2018年减少</w:t>
      </w:r>
      <w:r>
        <w:rPr>
          <w:rFonts w:hint="eastAsia" w:asciiTheme="minorEastAsia" w:hAnsiTheme="minorEastAsia" w:eastAsiaTheme="minorEastAsia"/>
          <w:sz w:val="32"/>
          <w:szCs w:val="32"/>
          <w:lang w:val="en-US" w:eastAsia="zh-CN"/>
        </w:rPr>
        <w:t>229.35</w:t>
      </w:r>
      <w:r>
        <w:rPr>
          <w:rFonts w:hint="eastAsia" w:asciiTheme="minorEastAsia" w:hAnsiTheme="minorEastAsia" w:eastAsiaTheme="minorEastAsia"/>
          <w:sz w:val="32"/>
          <w:szCs w:val="32"/>
        </w:rPr>
        <w:t>万元，下降</w:t>
      </w:r>
      <w:r>
        <w:rPr>
          <w:rFonts w:hint="eastAsia" w:asciiTheme="minorEastAsia" w:hAnsiTheme="minorEastAsia" w:eastAsiaTheme="minorEastAsia"/>
          <w:sz w:val="32"/>
          <w:szCs w:val="32"/>
          <w:lang w:val="en-US" w:eastAsia="zh-CN"/>
        </w:rPr>
        <w:t>15.92</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厉行节约</w:t>
      </w:r>
      <w:r>
        <w:rPr>
          <w:rFonts w:hint="eastAsia" w:asciiTheme="minorEastAsia" w:hAnsiTheme="minorEastAsia" w:eastAsiaTheme="minorEastAsia"/>
          <w:sz w:val="32"/>
          <w:szCs w:val="32"/>
        </w:rPr>
        <w:t>。</w:t>
      </w:r>
    </w:p>
    <w:p>
      <w:pPr>
        <w:spacing w:line="560" w:lineRule="exact"/>
        <w:ind w:firstLine="585"/>
        <w:jc w:val="left"/>
        <w:rPr>
          <w:rFonts w:asciiTheme="minorEastAsia" w:hAnsiTheme="minorEastAsia" w:eastAsiaTheme="minorEastAsia"/>
          <w:sz w:val="32"/>
          <w:szCs w:val="32"/>
        </w:rPr>
      </w:pPr>
      <w:r>
        <w:rPr>
          <w:rFonts w:hint="eastAsia" w:asciiTheme="minorEastAsia" w:hAnsiTheme="minorEastAsia" w:eastAsiaTheme="minorEastAsia"/>
          <w:sz w:val="32"/>
          <w:szCs w:val="32"/>
        </w:rPr>
        <w:t>（二）商品和服务支出</w:t>
      </w:r>
      <w:r>
        <w:rPr>
          <w:rFonts w:hint="eastAsia" w:asciiTheme="minorEastAsia" w:hAnsiTheme="minorEastAsia" w:eastAsiaTheme="minorEastAsia"/>
          <w:sz w:val="32"/>
          <w:szCs w:val="32"/>
          <w:lang w:val="en-US" w:eastAsia="zh-CN"/>
        </w:rPr>
        <w:t>659.66</w:t>
      </w:r>
      <w:r>
        <w:rPr>
          <w:rFonts w:hint="eastAsia" w:asciiTheme="minorEastAsia" w:hAnsiTheme="minorEastAsia" w:eastAsiaTheme="minorEastAsia"/>
          <w:sz w:val="32"/>
          <w:szCs w:val="32"/>
        </w:rPr>
        <w:t>万元，较2018年减少</w:t>
      </w:r>
      <w:r>
        <w:rPr>
          <w:rFonts w:hint="eastAsia" w:asciiTheme="minorEastAsia" w:hAnsiTheme="minorEastAsia" w:eastAsiaTheme="minorEastAsia"/>
          <w:sz w:val="32"/>
          <w:szCs w:val="32"/>
          <w:lang w:val="en-US" w:eastAsia="zh-CN"/>
        </w:rPr>
        <w:t>83.71</w:t>
      </w:r>
      <w:r>
        <w:rPr>
          <w:rFonts w:hint="eastAsia" w:asciiTheme="minorEastAsia" w:hAnsiTheme="minorEastAsia" w:eastAsiaTheme="minorEastAsia"/>
          <w:sz w:val="32"/>
          <w:szCs w:val="32"/>
        </w:rPr>
        <w:t>万元，下降</w:t>
      </w:r>
      <w:r>
        <w:rPr>
          <w:rFonts w:hint="eastAsia" w:asciiTheme="minorEastAsia" w:hAnsiTheme="minorEastAsia" w:eastAsiaTheme="minorEastAsia"/>
          <w:sz w:val="32"/>
          <w:szCs w:val="32"/>
          <w:lang w:val="en-US" w:eastAsia="zh-CN"/>
        </w:rPr>
        <w:t>11.26</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厉行节约</w:t>
      </w:r>
      <w:r>
        <w:rPr>
          <w:rFonts w:hint="eastAsia" w:asciiTheme="minorEastAsia" w:hAnsiTheme="minorEastAsia" w:eastAsiaTheme="minorEastAsia"/>
          <w:sz w:val="32"/>
          <w:szCs w:val="32"/>
        </w:rPr>
        <w:t>。</w:t>
      </w:r>
    </w:p>
    <w:p>
      <w:pPr>
        <w:spacing w:line="560" w:lineRule="exact"/>
        <w:ind w:firstLine="585"/>
        <w:jc w:val="left"/>
        <w:rPr>
          <w:rFonts w:asciiTheme="minorEastAsia" w:hAnsiTheme="minorEastAsia" w:eastAsiaTheme="minorEastAsia"/>
          <w:sz w:val="32"/>
          <w:szCs w:val="32"/>
        </w:rPr>
      </w:pPr>
      <w:r>
        <w:rPr>
          <w:rFonts w:hint="eastAsia" w:asciiTheme="minorEastAsia" w:hAnsiTheme="minorEastAsia" w:eastAsiaTheme="minorEastAsia"/>
          <w:sz w:val="32"/>
          <w:szCs w:val="32"/>
        </w:rPr>
        <w:t>（三）对个人和家庭补助支出</w:t>
      </w:r>
      <w:r>
        <w:rPr>
          <w:rFonts w:hint="eastAsia" w:asciiTheme="minorEastAsia" w:hAnsiTheme="minorEastAsia" w:eastAsiaTheme="minorEastAsia"/>
          <w:sz w:val="32"/>
          <w:szCs w:val="32"/>
          <w:lang w:val="en-US" w:eastAsia="zh-CN"/>
        </w:rPr>
        <w:t>24.93</w:t>
      </w:r>
      <w:r>
        <w:rPr>
          <w:rFonts w:hint="eastAsia" w:asciiTheme="minorEastAsia" w:hAnsiTheme="minorEastAsia" w:eastAsiaTheme="minorEastAsia"/>
          <w:sz w:val="32"/>
          <w:szCs w:val="32"/>
        </w:rPr>
        <w:t>万元，较2018年增加</w:t>
      </w:r>
      <w:r>
        <w:rPr>
          <w:rFonts w:hint="eastAsia" w:asciiTheme="minorEastAsia" w:hAnsiTheme="minorEastAsia" w:eastAsiaTheme="minorEastAsia"/>
          <w:sz w:val="32"/>
          <w:szCs w:val="32"/>
          <w:lang w:val="en-US" w:eastAsia="zh-CN"/>
        </w:rPr>
        <w:t>15.3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158.88</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退休职工过逝</w:t>
      </w:r>
      <w:r>
        <w:rPr>
          <w:rFonts w:hint="eastAsia" w:asciiTheme="minorEastAsia" w:hAnsiTheme="minorEastAsia" w:eastAsiaTheme="minorEastAsia"/>
          <w:sz w:val="32"/>
          <w:szCs w:val="32"/>
        </w:rPr>
        <w:t>。</w:t>
      </w:r>
    </w:p>
    <w:p>
      <w:pPr>
        <w:spacing w:line="560" w:lineRule="exact"/>
        <w:ind w:firstLine="585"/>
        <w:jc w:val="left"/>
        <w:rPr>
          <w:rFonts w:asciiTheme="minorEastAsia" w:hAnsiTheme="minorEastAsia" w:eastAsiaTheme="minorEastAsia"/>
          <w:sz w:val="32"/>
          <w:szCs w:val="32"/>
        </w:rPr>
      </w:pPr>
      <w:r>
        <w:rPr>
          <w:rFonts w:hint="eastAsia" w:asciiTheme="minorEastAsia" w:hAnsiTheme="minorEastAsia" w:eastAsiaTheme="minorEastAsia"/>
          <w:sz w:val="32"/>
          <w:szCs w:val="32"/>
        </w:rPr>
        <w:t>（四）其他资本性支出</w:t>
      </w:r>
      <w:r>
        <w:rPr>
          <w:rFonts w:hint="eastAsia" w:asciiTheme="minorEastAsia" w:hAnsiTheme="minorEastAsia" w:eastAsiaTheme="minorEastAsia"/>
          <w:sz w:val="32"/>
          <w:szCs w:val="32"/>
          <w:lang w:val="en-US" w:eastAsia="zh-CN"/>
        </w:rPr>
        <w:t>1730.68</w:t>
      </w:r>
      <w:r>
        <w:rPr>
          <w:rFonts w:hint="eastAsia" w:asciiTheme="minorEastAsia" w:hAnsiTheme="minorEastAsia" w:eastAsiaTheme="minorEastAsia"/>
          <w:sz w:val="32"/>
          <w:szCs w:val="32"/>
        </w:rPr>
        <w:t>万元，较2018年增加</w:t>
      </w:r>
      <w:r>
        <w:rPr>
          <w:rFonts w:hint="eastAsia" w:asciiTheme="minorEastAsia" w:hAnsiTheme="minorEastAsia" w:eastAsiaTheme="minorEastAsia"/>
          <w:sz w:val="32"/>
          <w:szCs w:val="32"/>
          <w:lang w:val="en-US" w:eastAsia="zh-CN"/>
        </w:rPr>
        <w:t>207.72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13.64</w:t>
      </w:r>
      <w:r>
        <w:rPr>
          <w:rFonts w:hint="eastAsia" w:asciiTheme="minorEastAsia" w:hAnsiTheme="minorEastAsia" w:eastAsiaTheme="minorEastAsia"/>
          <w:sz w:val="32"/>
          <w:szCs w:val="32"/>
        </w:rPr>
        <w:t xml:space="preserve"> %，主要原因是：</w:t>
      </w:r>
      <w:r>
        <w:rPr>
          <w:rFonts w:hint="eastAsia" w:asciiTheme="minorEastAsia" w:hAnsiTheme="minorEastAsia" w:eastAsiaTheme="minorEastAsia"/>
          <w:sz w:val="32"/>
          <w:szCs w:val="32"/>
          <w:lang w:eastAsia="zh-CN"/>
        </w:rPr>
        <w:t>设备购置</w:t>
      </w:r>
      <w:r>
        <w:rPr>
          <w:rFonts w:hint="eastAsia" w:asciiTheme="minorEastAsia" w:hAnsiTheme="minorEastAsia" w:eastAsiaTheme="minorEastAsia"/>
          <w:sz w:val="32"/>
          <w:szCs w:val="32"/>
        </w:rPr>
        <w:t>。</w:t>
      </w:r>
    </w:p>
    <w:p>
      <w:pPr>
        <w:spacing w:line="560" w:lineRule="exact"/>
        <w:ind w:firstLine="600"/>
        <w:rPr>
          <w:rFonts w:asciiTheme="minorEastAsia" w:hAnsiTheme="minorEastAsia" w:eastAsiaTheme="minorEastAsia"/>
          <w:bCs/>
          <w:sz w:val="32"/>
          <w:szCs w:val="32"/>
        </w:rPr>
      </w:pPr>
      <w:r>
        <w:rPr>
          <w:rFonts w:hint="eastAsia" w:asciiTheme="minorEastAsia" w:hAnsiTheme="minorEastAsia" w:eastAsiaTheme="minorEastAsia"/>
          <w:bCs/>
          <w:sz w:val="32"/>
          <w:szCs w:val="32"/>
        </w:rPr>
        <w:t>八、预算绩效管理工作开展情况说明</w:t>
      </w:r>
    </w:p>
    <w:p>
      <w:pPr>
        <w:ind w:firstLine="63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绩效管理工作开展情况。2019年我单位纳入一般公共预算项目支出-行政事业性支出-协警员工资43.2万元，全部用于发放辅警工资。根据财政预算管理要求，我部门组织对2019年度一般公共预算项目支出开展绩效自评。从评价情况来看，严格执行财务制度，加强财务管理，按预算资金控制支出，取得良好效果。</w:t>
      </w:r>
    </w:p>
    <w:p>
      <w:pPr>
        <w:ind w:firstLine="320" w:firstLineChars="100"/>
        <w:jc w:val="left"/>
        <w:rPr>
          <w:rFonts w:asciiTheme="minorEastAsia" w:hAnsiTheme="minorEastAsia" w:eastAsiaTheme="minorEastAsia"/>
          <w:sz w:val="30"/>
          <w:szCs w:val="30"/>
        </w:rPr>
      </w:pPr>
      <w:r>
        <w:rPr>
          <w:rFonts w:hint="eastAsia" w:asciiTheme="minorEastAsia" w:hAnsiTheme="minorEastAsia" w:eastAsiaTheme="minorEastAsia"/>
          <w:bCs/>
          <w:sz w:val="32"/>
          <w:szCs w:val="32"/>
        </w:rPr>
        <w:t>九、国有资产占用情况说明</w:t>
      </w:r>
      <w:r>
        <w:rPr>
          <w:rFonts w:hint="eastAsia" w:asciiTheme="minorEastAsia" w:hAnsiTheme="minorEastAsia" w:eastAsiaTheme="minorEastAsia"/>
          <w:sz w:val="30"/>
          <w:szCs w:val="30"/>
        </w:rPr>
        <w:t>。</w:t>
      </w:r>
    </w:p>
    <w:p>
      <w:pPr>
        <w:ind w:firstLine="63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截止2019年12月31日，本部门共有车辆58辆，其中，一般公务用车9辆、一般执法执勤用车46辆、特种专业技术用车3辆；单位价值50万元以上通用设备0台（套）；单位价值100万元以上专用设备0台（套）。</w:t>
      </w:r>
    </w:p>
    <w:p>
      <w:pPr>
        <w:pStyle w:val="8"/>
        <w:spacing w:line="560" w:lineRule="exact"/>
        <w:ind w:left="0" w:leftChars="0" w:firstLine="0" w:firstLineChars="0"/>
        <w:jc w:val="left"/>
        <w:rPr>
          <w:rFonts w:cs="仿宋_GB2312" w:asciiTheme="minorEastAsia" w:hAnsiTheme="minorEastAsia" w:eastAsiaTheme="minorEastAsia"/>
          <w:b/>
          <w:bCs/>
          <w:kern w:val="0"/>
          <w:sz w:val="32"/>
          <w:szCs w:val="32"/>
        </w:rPr>
      </w:pPr>
    </w:p>
    <w:p>
      <w:pPr>
        <w:pStyle w:val="8"/>
        <w:spacing w:line="560" w:lineRule="exact"/>
        <w:ind w:left="1473" w:firstLine="0" w:firstLineChars="0"/>
        <w:jc w:val="left"/>
        <w:rPr>
          <w:rFonts w:cs="仿宋_GB2312" w:asciiTheme="minorEastAsia" w:hAnsiTheme="minorEastAsia" w:eastAsiaTheme="minorEastAsia"/>
          <w:b/>
          <w:bCs/>
          <w:kern w:val="0"/>
          <w:sz w:val="32"/>
          <w:szCs w:val="32"/>
        </w:rPr>
      </w:pPr>
      <w:r>
        <w:rPr>
          <w:rFonts w:hint="eastAsia" w:cs="仿宋_GB2312" w:asciiTheme="minorEastAsia" w:hAnsiTheme="minorEastAsia" w:eastAsiaTheme="minorEastAsia"/>
          <w:b/>
          <w:bCs/>
          <w:kern w:val="0"/>
          <w:sz w:val="32"/>
          <w:szCs w:val="32"/>
        </w:rPr>
        <w:t>第三部分、专业名词解释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一、财政拨款收入：指单位本年度从本级财政部门取得的财政拨款，包括一般公共预算财政拨款和政府性基金预算财政拨款。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二、上级补助收入：指事业单位从主管部门和上级单位取得的非财政补助收入。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三、事业收入：指事业单位开展专业业务活动及其辅助活动取得的收入；事业单位收到的财政专户实际核拨的教育收费等资金在此反映。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四、经营收入：指事业单位在专业业务活动及其辅助活动之外开展非独立核算经营活动取得的收入。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五、附属单位缴款：指事业单位附属独立核算单位按照有关规定上缴的收入。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六、其他收入：指单位取得的除上述“财政拨款收入”、“事业收入”、“经营收入”、“附属单位缴款”等以外的各项收入。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七、用事业基金弥补收支差额：指事业单位用事业基金弥补当年收支差额的数额。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八、年初结转和结余：指单位上年结转本年使用的基本支出结转、项目支出结转和结余和经营结余。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九、结余分配：指事业单位按规定对非财政补助结余资金提取的职工福利基金、事业基金和缴纳的所得税，以及减少单位按规定应缴回的基本建设竣工项目结余资金。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十、年末结转和结余资金：指单位结转下年的基本支出结转、项目支出结转和结余和经营结余。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十一、基本支出：指为保障机构正常运转、完成日常工作任务而发生的人员支出和公用支出。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十二、项目支出：指在基本支出之外为完成特定的行政任务或事业发展目标所发生的支出。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十三、上缴上级支出：指事业单位按照财政部门和主管部门的规定上缴上级单位的支出。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十四、经营支出：指事业单位在专业业务活动及其辅助活动之外开展非独立核算经营活动发生的支出。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十五、对附属单位补助支出：指事业单位用财政补助收入之外的收入对附属单位补助发生的支出。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十六、“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sz w:val="32"/>
          <w:szCs w:val="32"/>
        </w:rPr>
        <w:t>十七、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机关运行经费”暂指一般公共预算安排的基本支出中的“商品和服务支出”经费。</w:t>
      </w:r>
    </w:p>
    <w:p>
      <w:pPr>
        <w:widowControl/>
        <w:spacing w:line="600" w:lineRule="exact"/>
        <w:rPr>
          <w:rFonts w:asciiTheme="minorEastAsia" w:hAnsiTheme="minorEastAsia" w:eastAsiaTheme="minorEastAsia"/>
          <w:b/>
          <w:sz w:val="32"/>
          <w:szCs w:val="32"/>
        </w:rPr>
      </w:pPr>
    </w:p>
    <w:p>
      <w:pPr>
        <w:widowControl/>
        <w:numPr>
          <w:ilvl w:val="0"/>
          <w:numId w:val="2"/>
        </w:numPr>
        <w:spacing w:line="600" w:lineRule="exact"/>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 xml:space="preserve"> </w:t>
      </w:r>
      <w:r>
        <w:rPr>
          <w:rFonts w:hint="eastAsia" w:asciiTheme="minorEastAsia" w:hAnsiTheme="minorEastAsia" w:eastAsiaTheme="minorEastAsia"/>
          <w:b/>
          <w:sz w:val="32"/>
          <w:szCs w:val="32"/>
          <w:lang w:eastAsia="zh-CN"/>
        </w:rPr>
        <w:t>赣州市赣县区公安局交通管理大队</w:t>
      </w:r>
      <w:r>
        <w:rPr>
          <w:rFonts w:hint="eastAsia" w:asciiTheme="minorEastAsia" w:hAnsiTheme="minorEastAsia" w:eastAsiaTheme="minorEastAsia"/>
          <w:b/>
          <w:sz w:val="32"/>
          <w:szCs w:val="32"/>
        </w:rPr>
        <w:t>部门2019年部门决算表</w:t>
      </w:r>
    </w:p>
    <w:p>
      <w:pPr>
        <w:spacing w:line="560" w:lineRule="exact"/>
        <w:ind w:firstLine="640" w:firstLineChars="200"/>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（详见附表）</w:t>
      </w:r>
    </w:p>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30"/>
          <w:szCs w:val="30"/>
        </w:rPr>
      </w:pPr>
    </w:p>
    <w:p>
      <w:pPr>
        <w:widowControl/>
        <w:jc w:val="left"/>
        <w:rPr>
          <w:rFonts w:hint="eastAsia" w:ascii="仿宋_GB2312" w:eastAsia="仿宋_GB2312"/>
          <w:sz w:val="28"/>
          <w:szCs w:val="28"/>
        </w:rPr>
      </w:pPr>
    </w:p>
    <w:sectPr>
      <w:footerReference r:id="rId3" w:type="default"/>
      <w:footerReference r:id="rId4" w:type="even"/>
      <w:pgSz w:w="11906" w:h="16838"/>
      <w:pgMar w:top="1843" w:right="1531" w:bottom="1418"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2631"/>
      <w:docPartObj>
        <w:docPartGallery w:val="autotext"/>
      </w:docPartObj>
    </w:sdtPr>
    <w:sdtContent>
      <w:p>
        <w:pPr>
          <w:pStyle w:val="3"/>
          <w:ind w:firstLine="7830" w:firstLineChars="4350"/>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w:t>
        </w:r>
        <w:r>
          <w:rPr>
            <w:rFonts w:ascii="宋体" w:hAnsi="宋体" w:eastAsia="仿宋_GB2312"/>
            <w:sz w:val="28"/>
            <w:szCs w:val="28"/>
          </w:rPr>
          <w:t>3</w:t>
        </w:r>
        <w:r>
          <w:rPr>
            <w:rFonts w:ascii="仿宋_GB2312" w:eastAsia="仿宋_GB2312"/>
            <w:sz w:val="28"/>
            <w:szCs w:val="28"/>
          </w:rPr>
          <w:t xml:space="preserve"> -</w:t>
        </w:r>
        <w:r>
          <w:rPr>
            <w:rFonts w:hint="eastAsia" w:ascii="仿宋_GB2312" w:eastAsia="仿宋_GB2312"/>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8"/>
        <w:szCs w:val="28"/>
      </w:rPr>
      <w:id w:val="2182630"/>
      <w:docPartObj>
        <w:docPartGallery w:val="autotext"/>
      </w:docPartObj>
    </w:sdtPr>
    <w:sdtEndPr>
      <w:rPr>
        <w:rFonts w:hint="eastAsia" w:ascii="仿宋_GB2312" w:eastAsia="仿宋_GB2312"/>
        <w:sz w:val="28"/>
        <w:szCs w:val="28"/>
      </w:rPr>
    </w:sdtEndPr>
    <w:sdtContent>
      <w:p>
        <w:pPr>
          <w:pStyle w:val="3"/>
          <w:ind w:firstLine="280" w:firstLineChars="100"/>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w:t>
        </w:r>
        <w:r>
          <w:rPr>
            <w:rFonts w:ascii="宋体" w:hAnsi="宋体" w:eastAsia="仿宋_GB2312"/>
            <w:sz w:val="28"/>
            <w:szCs w:val="28"/>
          </w:rPr>
          <w:t>20</w:t>
        </w:r>
        <w:r>
          <w:rPr>
            <w:rFonts w:ascii="仿宋_GB2312" w:eastAsia="仿宋_GB2312"/>
            <w:sz w:val="28"/>
            <w:szCs w:val="28"/>
          </w:rPr>
          <w:t xml:space="preserve"> -</w:t>
        </w:r>
        <w:r>
          <w:rPr>
            <w:rFonts w:hint="eastAsia" w:ascii="仿宋_GB2312" w:eastAsia="仿宋_GB2312"/>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9B381B"/>
    <w:multiLevelType w:val="singleLevel"/>
    <w:tmpl w:val="E79B381B"/>
    <w:lvl w:ilvl="0" w:tentative="0">
      <w:start w:val="4"/>
      <w:numFmt w:val="chineseCounting"/>
      <w:suff w:val="space"/>
      <w:lvlText w:val="第%1部分"/>
      <w:lvlJc w:val="left"/>
      <w:rPr>
        <w:rFonts w:hint="eastAsia"/>
      </w:rPr>
    </w:lvl>
  </w:abstractNum>
  <w:abstractNum w:abstractNumId="1">
    <w:nsid w:val="68402604"/>
    <w:multiLevelType w:val="multilevel"/>
    <w:tmpl w:val="68402604"/>
    <w:lvl w:ilvl="0" w:tentative="0">
      <w:start w:val="1"/>
      <w:numFmt w:val="japaneseCounting"/>
      <w:lvlText w:val="%1、"/>
      <w:lvlJc w:val="left"/>
      <w:pPr>
        <w:ind w:left="2000" w:hanging="72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1"/>
    <w:rsid w:val="003224E1"/>
    <w:rsid w:val="00447890"/>
    <w:rsid w:val="0046649E"/>
    <w:rsid w:val="004D315C"/>
    <w:rsid w:val="005613F2"/>
    <w:rsid w:val="0057095B"/>
    <w:rsid w:val="005D721D"/>
    <w:rsid w:val="005F00A0"/>
    <w:rsid w:val="007459F3"/>
    <w:rsid w:val="00B873F5"/>
    <w:rsid w:val="00C00EEF"/>
    <w:rsid w:val="00DF4530"/>
    <w:rsid w:val="00FA41DF"/>
    <w:rsid w:val="00FE2CB1"/>
    <w:rsid w:val="055F0A40"/>
    <w:rsid w:val="082D60C6"/>
    <w:rsid w:val="10E537BA"/>
    <w:rsid w:val="24D1134F"/>
    <w:rsid w:val="2B9957EE"/>
    <w:rsid w:val="2FD57E08"/>
    <w:rsid w:val="33DC53BB"/>
    <w:rsid w:val="418157A6"/>
    <w:rsid w:val="525F7B18"/>
    <w:rsid w:val="67696A82"/>
    <w:rsid w:val="712F2B18"/>
    <w:rsid w:val="76B56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Calibri" w:hAnsi="Calibri" w:eastAsia="宋体" w:cs="Times New Roman"/>
      <w:sz w:val="18"/>
      <w:szCs w:val="18"/>
    </w:rPr>
  </w:style>
  <w:style w:type="paragraph" w:styleId="8">
    <w:name w:val="List Paragraph"/>
    <w:basedOn w:val="1"/>
    <w:qFormat/>
    <w:uiPriority w:val="99"/>
    <w:pPr>
      <w:ind w:firstLine="420" w:firstLineChars="200"/>
    </w:pPr>
  </w:style>
  <w:style w:type="character" w:customStyle="1" w:styleId="9">
    <w:name w:val="批注框文本 Char"/>
    <w:basedOn w:val="6"/>
    <w:link w:val="2"/>
    <w:semiHidden/>
    <w:qFormat/>
    <w:uiPriority w:val="99"/>
    <w:rPr>
      <w:rFonts w:ascii="Calibri" w:hAnsi="Calibri" w:eastAsia="宋体" w:cs="Times New Roman"/>
      <w:sz w:val="18"/>
      <w:szCs w:val="18"/>
    </w:rPr>
  </w:style>
  <w:style w:type="character" w:customStyle="1" w:styleId="10">
    <w:name w:val="页眉 Char"/>
    <w:basedOn w:val="6"/>
    <w:link w:val="4"/>
    <w:semiHidden/>
    <w:qFormat/>
    <w:uiPriority w:val="99"/>
    <w:rPr>
      <w:rFonts w:ascii="Calibri" w:hAnsi="Calibri" w:eastAsia="宋体" w:cs="Times New Roman"/>
      <w:sz w:val="18"/>
      <w:szCs w:val="18"/>
    </w:rPr>
  </w:style>
  <w:style w:type="paragraph" w:customStyle="1" w:styleId="11">
    <w:name w:val="无间隔"/>
    <w:qFormat/>
    <w:uiPriority w:val="99"/>
    <w:rPr>
      <w:rFonts w:ascii="Calibri" w:hAnsi="Calibri" w:eastAsia="宋体" w:cs="Calibri"/>
      <w:kern w:val="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944</Words>
  <Characters>5386</Characters>
  <Lines>44</Lines>
  <Paragraphs>12</Paragraphs>
  <TotalTime>0</TotalTime>
  <ScaleCrop>false</ScaleCrop>
  <LinksUpToDate>false</LinksUpToDate>
  <CharactersWithSpaces>6318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2020-09-17T08:18:00Z</dcterms:created>
  <dc:creator>Administrator</dc:creator>
  <cp:lastModifiedBy>Administrator</cp:lastModifiedBy>
  <cp:lastPrinted>2020-09-18T01:00:00Z</cp:lastPrinted>
  <dcterms:modified xsi:type="dcterms:W3CDTF">2021-05-24T07:51:05Z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107CCDD2EF9246F5B36C75810081643B</vt:lpwstr>
  </property>
</Properties>
</file>