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rPr>
          <w:rFonts w:ascii="Times New Roman"/>
          <w:sz w:val="1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right="0" w:rightChars="0"/>
        <w:jc w:val="center"/>
        <w:textAlignment w:val="auto"/>
        <w:rPr>
          <w:b/>
          <w:sz w:val="44"/>
        </w:rPr>
      </w:pPr>
      <w:r>
        <w:rPr>
          <w:rFonts w:hint="eastAsia"/>
          <w:b/>
          <w:sz w:val="44"/>
        </w:rPr>
        <w:t>赣县区发改委</w:t>
      </w:r>
      <w:r>
        <w:rPr>
          <w:b/>
          <w:sz w:val="44"/>
        </w:rPr>
        <w:t>部门2019年部门决算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right="0" w:rightChars="0" w:firstLine="803" w:firstLineChars="200"/>
        <w:jc w:val="both"/>
        <w:textAlignment w:val="auto"/>
        <w:rPr>
          <w:b/>
          <w:sz w:val="40"/>
        </w:rPr>
      </w:pPr>
    </w:p>
    <w:p>
      <w:pPr>
        <w:keepNext w:val="0"/>
        <w:keepLines w:val="0"/>
        <w:pageBreakBefore w:val="0"/>
        <w:widowControl w:val="0"/>
        <w:tabs>
          <w:tab w:val="left" w:pos="1202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right="0" w:rightChars="0"/>
        <w:jc w:val="center"/>
        <w:textAlignment w:val="auto"/>
        <w:rPr>
          <w:b/>
          <w:sz w:val="40"/>
        </w:rPr>
      </w:pPr>
      <w:r>
        <w:rPr>
          <w:b/>
          <w:sz w:val="40"/>
        </w:rPr>
        <w:t>目</w:t>
      </w:r>
      <w:r>
        <w:rPr>
          <w:b/>
          <w:sz w:val="40"/>
        </w:rPr>
        <w:tab/>
      </w:r>
      <w:r>
        <w:rPr>
          <w:b/>
          <w:sz w:val="40"/>
        </w:rPr>
        <w:t>录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right="0" w:rightChars="0" w:firstLine="944" w:firstLineChars="200"/>
        <w:jc w:val="both"/>
        <w:textAlignment w:val="auto"/>
        <w:rPr>
          <w:b/>
          <w:sz w:val="47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第一部分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赣县区发改委部门概况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一、部门主要职能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二、部门基本情况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第二部分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2019年度部门决算情况说明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一、收入决算情况说明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二、支出决算情况说明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三、财政拨款支出决算情况说明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四、机关运行经费支出情况说明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五、“三公”经费支出决算情况说明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六、政府采购支出情况说明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七、一般公共预算财政拨款基本支出情况说明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八、预算绩效管理工作开展情况说明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九、国有资产占用情况说明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第三部分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2019年部门决算表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一、收入支出决算总表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二、收入决算表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三、支出决算表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四、财政拨款收入支出决算总表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五、一般公共预算财政拨款支出决算表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六、一般公共预算财政拨款基本支出决算表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七、一般公共预算财政拨款“三公”经费支出决算表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八、政府性基金预算财政拨款收入支出决算表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九、国有资产占用情况表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96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right="0" w:rightChars="0"/>
        <w:jc w:val="both"/>
        <w:textAlignment w:val="auto"/>
      </w:pPr>
    </w:p>
    <w:p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第一部分</w:t>
      </w:r>
      <w:r>
        <w:rPr>
          <w:rFonts w:hint="eastAsia"/>
          <w:b/>
          <w:bCs/>
          <w:sz w:val="36"/>
          <w:szCs w:val="36"/>
          <w:lang w:val="en-US" w:eastAsia="zh-CN"/>
        </w:rPr>
        <w:t xml:space="preserve">  </w:t>
      </w:r>
      <w:r>
        <w:rPr>
          <w:b/>
          <w:bCs/>
          <w:sz w:val="36"/>
          <w:szCs w:val="36"/>
        </w:rPr>
        <w:t>赣县区发改委部门概况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right="0" w:rightChars="0"/>
        <w:jc w:val="both"/>
        <w:textAlignment w:val="auto"/>
        <w:rPr>
          <w:b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一、部门主要职能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sz w:val="32"/>
          <w:szCs w:val="32"/>
        </w:rPr>
        <w:t>一是拟订并组织实施全县国民经济和社会发展战略、中长期规划和年度计划，统筹协调经济社会发展，研究分析国内外经济形势，提出全县国民经济发展、价格总水平调控和优化经济结构的目标、政策，提出综合运用各种经济手段和政策的建议，受县政府委托向县人大提交全县国民经济和社会发展计划报告。二是负责监测全县宏观经济和社会发展态势，研究全县宏观经济运行、总量平衡、经济安全和总体产业安全等重要问题并提出宏观调控政策建议，负责协调解决经济运行中的相关问题，调节经济运行。三是负责汇总分析全县财政、金融等方面的情况，参与制定全县财政政策和土地政策。四是承担规划全县建设项目和生产力布局的责任，拟订全社会固定资产投资总规模和投资结构的调控目标、政策及措施，衔接平衡需要安排中央、省、市、县级财政性投资和涉及建设项目的专项规划。按规定权限审批、核准、审核建设项目和外资项目。组织开展全县建设项目稽察。五是推进经济结构调整。组织拟订全县综合性产业政策，负责协调第一、二、三产业发展的相关性问题并衔接平衡相关发展规划和政策，做好与全县国民经济和社会发展规划、计划的衔接平衡。六是负责全县社会发展与国民经济发展的政策衔接，组织拟订全县社会发展总体规划和年度计划，参与拟订人口和计划生育、科学技术、教育、文化、卫生、民政等发展政策，推进社会事业建设。七是推进全县可持续发展战略，负责节能减排的综合协调和全县应对气候变化工作，组织拟订发展循环经济、全社会能源资源节约和综合利用规划及政策措施并协调实施。八是指导和协调全县招标投标工作，对全县建设项目的招投标活动进行监督检查。九是负责能源预测预警，发布能源信息，负责监测分析能源工业运行。十是承办县人民政府交办的其他事项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</w:rPr>
        <w:t>贯彻落实国家、省、市有关价格法律法规和有关价费政策；加强价格监测，为上级政府制定价格调控措施提供依据；按照定价权限，制定政府指导价、政府定价类的商品价格和服务价格；依法对涉案物品进行价格鉴定，为司法机关依法行政提供重要依据；开展收费登记工作，规范全区行政事业性收费和经营性收费项目和标准；加强价格监督，依法查处各种乱收费、乱加价等侵害消费者权益的价格违法行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二、部门决算单位基本情况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纳入本套部门决算汇编范围的单位共1个。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本部门2019年年末编制人数57人，其中行政编制44人，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事业编制13人；年末实有人数86人，其中在职人员57人，离休人员0人，退休人员29人；年末学生人数0人。</w:t>
      </w:r>
    </w:p>
    <w:p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</w:p>
    <w:p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第二部分  赣县区发改委部门2019年部门决算情况说明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一、收入决算情况说明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本部门2019年度收入总计1458.3万元，其中上年结转和结余339.04万元，较上年下降15.75%；本年收入合计1119.26万元，较上年下降0.71%，主要原因是：在职人员退休，减少在职人员工资及公务费。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本年收入的具体构成为：财政拨款收入1458.3万元，占100%。事业收入0万元，占0%；经营收入0万元，占0%；其他收入0万元，占0%。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二、支出决算情况说明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部门2019年度支出总计1458.3万元，其中本年支出合计1218.33万元，较上年增长28.71%，主要原因是：在职人员退休，减少在职人员工资及公务费；年末结转和结余239.97万元，较上年下降29.22%，主要原因是：在职人员退休，减少在职人员工资及公务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本年支出的具体构成为：基本支出1218.33万元，占100%项目支出0万元，占0%；经营支出0万元，占0%；其他支出0万元，占0%。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三、财政拨款支出决算情况说明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本部门2019年度财政拨款本年支出年初预算数为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858.18</w:t>
      </w:r>
      <w:r>
        <w:rPr>
          <w:rFonts w:hint="eastAsia" w:ascii="仿宋_GB2312" w:hAnsi="仿宋_GB2312" w:eastAsia="仿宋_GB2312" w:cs="仿宋_GB2312"/>
          <w:sz w:val="32"/>
          <w:szCs w:val="32"/>
        </w:rPr>
        <w:t>万元，决算数为1218.33万元，完成年初预算的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141.97</w:t>
      </w:r>
      <w:r>
        <w:rPr>
          <w:rFonts w:hint="eastAsia" w:ascii="仿宋_GB2312" w:hAnsi="仿宋_GB2312" w:eastAsia="仿宋_GB2312" w:cs="仿宋_GB2312"/>
          <w:sz w:val="32"/>
          <w:szCs w:val="32"/>
        </w:rPr>
        <w:t>%。其中：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（一）</w:t>
      </w:r>
      <w:bookmarkStart w:id="0" w:name="OLE_LINK1"/>
      <w:r>
        <w:rPr>
          <w:rFonts w:hint="eastAsia" w:ascii="仿宋_GB2312" w:hAnsi="仿宋_GB2312" w:eastAsia="仿宋_GB2312" w:cs="仿宋_GB2312"/>
          <w:sz w:val="32"/>
          <w:szCs w:val="32"/>
        </w:rPr>
        <w:t>一般公共服务支出</w:t>
      </w:r>
      <w:bookmarkEnd w:id="0"/>
      <w:r>
        <w:rPr>
          <w:rFonts w:hint="eastAsia" w:ascii="仿宋_GB2312" w:hAnsi="仿宋_GB2312" w:eastAsia="仿宋_GB2312" w:cs="仿宋_GB2312"/>
          <w:sz w:val="32"/>
          <w:szCs w:val="32"/>
        </w:rPr>
        <w:t>年初预算数为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686.31</w:t>
      </w:r>
      <w:r>
        <w:rPr>
          <w:rFonts w:hint="eastAsia" w:ascii="仿宋_GB2312" w:hAnsi="仿宋_GB2312" w:eastAsia="仿宋_GB2312" w:cs="仿宋_GB2312"/>
          <w:sz w:val="32"/>
          <w:szCs w:val="32"/>
        </w:rPr>
        <w:t>万元，决算数为1032.01万元，完成年初预算的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150.37</w:t>
      </w:r>
      <w:r>
        <w:rPr>
          <w:rFonts w:hint="eastAsia" w:ascii="仿宋_GB2312" w:hAnsi="仿宋_GB2312" w:eastAsia="仿宋_GB2312" w:cs="仿宋_GB2312"/>
          <w:sz w:val="32"/>
          <w:szCs w:val="32"/>
        </w:rPr>
        <w:t>%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,</w:t>
      </w:r>
      <w:r>
        <w:rPr>
          <w:rFonts w:hint="eastAsia" w:ascii="仿宋_GB2312" w:hAnsi="仿宋_GB2312" w:eastAsia="仿宋_GB2312" w:cs="仿宋_GB2312"/>
          <w:sz w:val="32"/>
          <w:szCs w:val="32"/>
        </w:rPr>
        <w:t>主要原因是：人员经费增加。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（二）社会就业保障支出年初预算数为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94.98</w:t>
      </w:r>
      <w:r>
        <w:rPr>
          <w:rFonts w:hint="eastAsia" w:ascii="仿宋_GB2312" w:hAnsi="仿宋_GB2312" w:eastAsia="仿宋_GB2312" w:cs="仿宋_GB2312"/>
          <w:sz w:val="32"/>
          <w:szCs w:val="32"/>
        </w:rPr>
        <w:t>万元，决算数为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87.68</w:t>
      </w:r>
      <w:r>
        <w:rPr>
          <w:rFonts w:hint="eastAsia" w:ascii="仿宋_GB2312" w:hAnsi="仿宋_GB2312" w:eastAsia="仿宋_GB2312" w:cs="仿宋_GB2312"/>
          <w:sz w:val="32"/>
          <w:szCs w:val="32"/>
        </w:rPr>
        <w:t>万元，完成年初预算的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92.31</w:t>
      </w:r>
      <w:r>
        <w:rPr>
          <w:rFonts w:hint="eastAsia" w:ascii="仿宋_GB2312" w:hAnsi="仿宋_GB2312" w:eastAsia="仿宋_GB2312" w:cs="仿宋_GB2312"/>
          <w:sz w:val="32"/>
          <w:szCs w:val="32"/>
        </w:rPr>
        <w:t>%，主要原因是：退休人员增加。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（三）卫生健康支出年初预算数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30.07</w:t>
      </w:r>
      <w:r>
        <w:rPr>
          <w:rFonts w:hint="eastAsia" w:ascii="仿宋_GB2312" w:hAnsi="仿宋_GB2312" w:eastAsia="仿宋_GB2312" w:cs="仿宋_GB2312"/>
          <w:sz w:val="32"/>
          <w:szCs w:val="32"/>
        </w:rPr>
        <w:t>万元，决算数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33.30</w:t>
      </w:r>
      <w:r>
        <w:rPr>
          <w:rFonts w:hint="eastAsia" w:ascii="仿宋_GB2312" w:hAnsi="仿宋_GB2312" w:eastAsia="仿宋_GB2312" w:cs="仿宋_GB2312"/>
          <w:sz w:val="32"/>
          <w:szCs w:val="32"/>
        </w:rPr>
        <w:t>万元，完成预算的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110.74</w:t>
      </w:r>
      <w:r>
        <w:rPr>
          <w:rFonts w:hint="eastAsia" w:ascii="仿宋_GB2312" w:hAnsi="仿宋_GB2312" w:eastAsia="仿宋_GB2312" w:cs="仿宋_GB2312"/>
          <w:sz w:val="32"/>
          <w:szCs w:val="32"/>
        </w:rPr>
        <w:t>%，主要原因是：人员经费增加。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（四）农林水（扶贫）支出年初预算数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0</w:t>
      </w:r>
      <w:r>
        <w:rPr>
          <w:rFonts w:hint="eastAsia" w:ascii="仿宋_GB2312" w:hAnsi="仿宋_GB2312" w:eastAsia="仿宋_GB2312" w:cs="仿宋_GB2312"/>
          <w:sz w:val="32"/>
          <w:szCs w:val="32"/>
        </w:rPr>
        <w:t>万元，决算数19.6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</w:rPr>
        <w:t>万元，无年初预算无法对比，主要原因是：项目经费增加。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（五）住房保障支出年初预算数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46.82</w:t>
      </w:r>
      <w:r>
        <w:rPr>
          <w:rFonts w:hint="eastAsia" w:ascii="仿宋_GB2312" w:hAnsi="仿宋_GB2312" w:eastAsia="仿宋_GB2312" w:cs="仿宋_GB2312"/>
          <w:sz w:val="32"/>
          <w:szCs w:val="32"/>
        </w:rPr>
        <w:t>万元，决算数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45.69</w:t>
      </w:r>
      <w:r>
        <w:rPr>
          <w:rFonts w:hint="eastAsia" w:ascii="仿宋_GB2312" w:hAnsi="仿宋_GB2312" w:eastAsia="仿宋_GB2312" w:cs="仿宋_GB2312"/>
          <w:sz w:val="32"/>
          <w:szCs w:val="32"/>
        </w:rPr>
        <w:t>万元，完成预算的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98</w:t>
      </w:r>
      <w:r>
        <w:rPr>
          <w:rFonts w:hint="eastAsia" w:ascii="仿宋_GB2312" w:hAnsi="仿宋_GB2312" w:eastAsia="仿宋_GB2312" w:cs="仿宋_GB2312"/>
          <w:sz w:val="32"/>
          <w:szCs w:val="32"/>
        </w:rPr>
        <w:t>%，主要原因是：退休人员增加。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四、机关运行经费情况说明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本部门2019年度机关运行经费支出319.97万元，比2018年增加15.21万元，增长4.99%。主要原因是：办公费、印刷费、培训费增加。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五、“三公”经费支出决算情况说明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本部门2019年度“三公”经费支出年初预算数为13万元，决算数为0.99万元，完成预算的7.6%，决算数较上年下降88.38%，其中：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（一）因公出国（境）支出年初预算数为0万元，决算数为0万元。主要原因是：本部门无此项业务。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（二）公务接待费支出年初预算数为13万元，决算数为0.99万元，接待批次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99</w:t>
      </w:r>
      <w:r>
        <w:rPr>
          <w:rFonts w:hint="eastAsia" w:ascii="仿宋_GB2312" w:hAnsi="仿宋_GB2312" w:eastAsia="仿宋_GB2312" w:cs="仿宋_GB2312"/>
          <w:sz w:val="32"/>
          <w:szCs w:val="32"/>
        </w:rPr>
        <w:t>批次，人次130人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,</w:t>
      </w:r>
      <w:r>
        <w:rPr>
          <w:rFonts w:hint="eastAsia" w:ascii="仿宋_GB2312" w:hAnsi="仿宋_GB2312" w:eastAsia="仿宋_GB2312" w:cs="仿宋_GB2312"/>
          <w:sz w:val="32"/>
          <w:szCs w:val="32"/>
        </w:rPr>
        <w:t>完成预算的7.6%，决算数较上年下降88.38%。主要原因是：严控招待费管理，节约减少开支。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（三）公务用车购置及运行维护费支出0万元，主要原因是：公车改革后，本部门车辆上交，无费用。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六、政府采购支出情况说明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部门2019年度政府采购支出总额2.43万元，其中：政府采购货物支出2.43万元，政府采购工程支出0万元、政府采购服务支出0万元。授予中小企业合同金额0万元，占政府采购支出总额的0%，其中：授予小微企业合同金额0万元，占政府采购支出总额的0%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七、一般公共预算财政拨款基本支出决算情况说明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本部门2019年度一般公共预算财政拨款基本支出1218.33万元，其中：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（一）工资福利支出870.28万元，较2018年增加28.76万元，增长3.42%，主要原因是：人员工资增加。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（二）商品和服务支出317.54万元，较2018年增加14.15万元，增长5%，主要原因是：办公费、印刷费、培训费增加。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（三）对个人和家庭补助支出28.08万元，较2018年增加减少9.99万元，下降26.24%，主要原因是：退休人员增加。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（四）其他资本性支出2.43万元，较2018年增加1.06万元，增加77%，主要原因是：办公设备增加。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八、预算绩效管理工作开展情况说明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（1）绩效管理工作开展情况。根据财政预算管理要求，我部门组织对2019年度一般公共预算项目支出开展绩效自评。自评项目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</w:rPr>
        <w:t>个，共涉及资金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258.9</w:t>
      </w:r>
      <w:r>
        <w:rPr>
          <w:rFonts w:hint="eastAsia" w:ascii="仿宋_GB2312" w:hAnsi="仿宋_GB2312" w:eastAsia="仿宋_GB2312" w:cs="仿宋_GB2312"/>
          <w:sz w:val="32"/>
          <w:szCs w:val="32"/>
        </w:rPr>
        <w:t>万元，自评覆盖率达到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10</w:t>
      </w:r>
      <w:r>
        <w:rPr>
          <w:rFonts w:hint="eastAsia" w:ascii="仿宋_GB2312" w:hAnsi="仿宋_GB2312" w:eastAsia="仿宋_GB2312" w:cs="仿宋_GB2312"/>
          <w:sz w:val="32"/>
          <w:szCs w:val="32"/>
        </w:rPr>
        <w:t>0%。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组织对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</w:rPr>
        <w:t>个项目进行了绩效运行监控管理，涉及一般公共预算支出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258.9</w:t>
      </w:r>
      <w:r>
        <w:rPr>
          <w:rFonts w:hint="eastAsia" w:ascii="仿宋_GB2312" w:hAnsi="仿宋_GB2312" w:eastAsia="仿宋_GB2312" w:cs="仿宋_GB2312"/>
          <w:sz w:val="32"/>
          <w:szCs w:val="32"/>
        </w:rPr>
        <w:t>万元。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组织对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</w:rPr>
        <w:t>个单位开展整体支出绩效评价，涉及一般公共预算支出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258.9</w:t>
      </w:r>
      <w:r>
        <w:rPr>
          <w:rFonts w:hint="eastAsia" w:ascii="仿宋_GB2312" w:hAnsi="仿宋_GB2312" w:eastAsia="仿宋_GB2312" w:cs="仿宋_GB2312"/>
          <w:sz w:val="32"/>
          <w:szCs w:val="32"/>
        </w:rPr>
        <w:t>万元。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（2）部门决算中项目绩效自评结果。其中“中央投资项目前期工作经费”年初预算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124万元，本年度支出124万元，完成拟定的10个投资项目，社会公众满意度达到100%，</w:t>
      </w:r>
      <w:r>
        <w:rPr>
          <w:rFonts w:hint="eastAsia" w:ascii="仿宋_GB2312" w:hAnsi="仿宋_GB2312" w:eastAsia="仿宋_GB2312" w:cs="仿宋_GB2312"/>
          <w:sz w:val="32"/>
          <w:szCs w:val="32"/>
        </w:rPr>
        <w:t>我部门今年在市本级部门决算中试点公开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</w:rPr>
        <w:t>项目绩效评价结果。根据年初设定的绩效目标，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</w:rPr>
        <w:t>项目自评得分为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83</w:t>
      </w:r>
      <w:r>
        <w:rPr>
          <w:rFonts w:hint="eastAsia" w:ascii="仿宋_GB2312" w:hAnsi="仿宋_GB2312" w:eastAsia="仿宋_GB2312" w:cs="仿宋_GB2312"/>
          <w:sz w:val="32"/>
          <w:szCs w:val="32"/>
        </w:rPr>
        <w:t>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九、国有资产占用情况说明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截止2019年12月31日，本部门共有车辆0辆，其中，区级及以上领导用车0辆、主要领导干部用车0辆、机要通信用车0辆、应急保障用车0辆、执法执勤用车0辆、特种专业技术用车0辆、其他用车0辆，其他用车主要是无；单位价值50万元以上通用设备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0</w:t>
      </w:r>
      <w:r>
        <w:rPr>
          <w:rFonts w:hint="eastAsia" w:ascii="仿宋_GB2312" w:hAnsi="仿宋_GB2312" w:eastAsia="仿宋_GB2312" w:cs="仿宋_GB2312"/>
          <w:sz w:val="32"/>
          <w:szCs w:val="32"/>
        </w:rPr>
        <w:t>台（套）；单位价值100万元以上专用设备0台（套）。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jc w:val="center"/>
        <w:textAlignment w:val="auto"/>
        <w:rPr>
          <w:rFonts w:hint="eastAsia" w:ascii="宋体" w:hAnsi="宋体" w:eastAsia="宋体" w:cs="宋体"/>
          <w:b/>
          <w:bCs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t>第三部分、专业名词解释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一、财政拨款收入：指单位本年度从本级财政部门取得的财政拨款，包括一般公共预算财政拨款和政府性基金预算财政拨款。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二、年初结转和结余：指单位上年结转本年使用的基本支出结转、项目支出结转和结余和经营结余。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三、年末结转和结余资金：指单位结转下年的基本支出结转、项目支出结转和结余和经营结余。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四、基本支出：指为保障机构正常运转、完成日常工作任务而发生的人员支出和公用支出。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五、“三公”经费：指各部门因公出国（境）费、公务用车购置及运行费和公务接待费。其中，因公出国（境）费指单位公务出国（境）的住宿费、旅费、伙食补助费、杂费、培训费等支出；公务用车购置及运行费指单位公务用车购置费及租用费、燃料费、维修费、过路过桥费、保险费、安全奖励费用等支出；公务接待费指单位按规定开支的各类公务接待（含外宾接待）支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六、机关运行经费：指为保障行政单位（含参照公务员法管理的事业单位）运行用于购买货物和服务的各项资金，包括办公费、印刷费、差旅费、会议费、日常维修费、专用材料及办公用房水电费、物业管理费、公务用车运行维护费等。在财政部有明确规定前，“机关运行经费”暂指一般公共预算安排的基本支出中的“商品和服务支出”经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  <w:sectPr>
          <w:footerReference r:id="rId3" w:type="default"/>
          <w:pgSz w:w="11910" w:h="16840"/>
          <w:pgMar w:top="2041" w:right="1531" w:bottom="2041" w:left="1531" w:header="720" w:footer="1417" w:gutter="0"/>
          <w:cols w:space="0" w:num="1"/>
          <w:rtlGutter w:val="0"/>
          <w:docGrid w:linePitch="0" w:charSpace="0"/>
        </w:sectPr>
      </w:pPr>
      <w:bookmarkStart w:id="1" w:name="_GoBack"/>
      <w:bookmarkEnd w:id="1"/>
    </w:p>
    <w:p>
      <w:pPr>
        <w:pStyle w:val="3"/>
        <w:spacing w:before="6"/>
        <w:rPr>
          <w:sz w:val="27"/>
        </w:rPr>
      </w:pPr>
    </w:p>
    <w:p>
      <w:pPr>
        <w:pStyle w:val="2"/>
        <w:tabs>
          <w:tab w:val="left" w:pos="1607"/>
        </w:tabs>
        <w:spacing w:before="54"/>
        <w:ind w:right="59"/>
        <w:jc w:val="center"/>
        <w:rPr>
          <w:rFonts w:hint="eastAsia" w:ascii="宋体" w:hAnsi="宋体" w:eastAsia="宋体" w:cs="宋体"/>
          <w:sz w:val="36"/>
          <w:szCs w:val="36"/>
        </w:rPr>
      </w:pPr>
      <w:r>
        <w:rPr>
          <w:rFonts w:hint="eastAsia" w:ascii="宋体" w:hAnsi="宋体" w:eastAsia="宋体" w:cs="宋体"/>
          <w:sz w:val="36"/>
          <w:szCs w:val="36"/>
        </w:rPr>
        <w:t>第四部分</w:t>
      </w:r>
      <w:r>
        <w:rPr>
          <w:rFonts w:hint="eastAsia" w:ascii="宋体" w:hAnsi="宋体" w:eastAsia="宋体" w:cs="宋体"/>
          <w:sz w:val="36"/>
          <w:szCs w:val="36"/>
        </w:rPr>
        <w:tab/>
      </w:r>
      <w:r>
        <w:rPr>
          <w:rFonts w:hint="eastAsia" w:ascii="宋体" w:hAnsi="宋体" w:eastAsia="宋体" w:cs="宋体"/>
          <w:sz w:val="36"/>
          <w:szCs w:val="36"/>
        </w:rPr>
        <w:t>赣县区发改委部门2019年部门决算表</w:t>
      </w:r>
    </w:p>
    <w:p>
      <w:pPr>
        <w:pStyle w:val="3"/>
        <w:spacing w:before="12"/>
        <w:rPr>
          <w:b/>
          <w:sz w:val="23"/>
        </w:rPr>
      </w:pPr>
    </w:p>
    <w:p>
      <w:pPr>
        <w:rPr>
          <w:sz w:val="23"/>
        </w:rPr>
        <w:sectPr>
          <w:pgSz w:w="11910" w:h="16840"/>
          <w:pgMar w:top="2041" w:right="1531" w:bottom="2041" w:left="1531" w:header="720" w:footer="1417" w:gutter="0"/>
          <w:cols w:space="0" w:num="1"/>
          <w:rtlGutter w:val="0"/>
          <w:docGrid w:linePitch="0" w:charSpace="0"/>
        </w:sectPr>
      </w:pPr>
      <w:r>
        <w:rPr>
          <w:lang w:val="en-US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1026160</wp:posOffset>
            </wp:positionH>
            <wp:positionV relativeFrom="paragraph">
              <wp:posOffset>12700</wp:posOffset>
            </wp:positionV>
            <wp:extent cx="6108065" cy="6288405"/>
            <wp:effectExtent l="0" t="0" r="6985" b="17145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6288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rPr>
          <w:rFonts w:ascii="Times New Roman"/>
          <w:sz w:val="20"/>
        </w:rPr>
      </w:pPr>
    </w:p>
    <w:p>
      <w:pPr>
        <w:pStyle w:val="3"/>
        <w:spacing w:before="11"/>
        <w:rPr>
          <w:rFonts w:ascii="Times New Roman"/>
          <w:sz w:val="11"/>
        </w:rPr>
      </w:pPr>
    </w:p>
    <w:p>
      <w:pPr>
        <w:pStyle w:val="3"/>
        <w:ind w:left="103"/>
        <w:rPr>
          <w:rFonts w:ascii="Times New Roman"/>
          <w:sz w:val="20"/>
        </w:rPr>
      </w:pPr>
      <w:r>
        <w:rPr>
          <w:rFonts w:ascii="Times New Roman"/>
          <w:sz w:val="20"/>
          <w:lang w:val="en-US" w:bidi="ar-SA"/>
        </w:rPr>
        <w:drawing>
          <wp:inline distT="0" distB="0" distL="0" distR="0">
            <wp:extent cx="6024245" cy="4768215"/>
            <wp:effectExtent l="0" t="0" r="14605" b="13335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4245" cy="476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/>
          <w:sz w:val="20"/>
        </w:rPr>
        <w:sectPr>
          <w:pgSz w:w="11910" w:h="16840"/>
          <w:pgMar w:top="2041" w:right="1531" w:bottom="2041" w:left="1531" w:header="720" w:footer="1417" w:gutter="0"/>
          <w:cols w:space="0" w:num="1"/>
          <w:rtlGutter w:val="0"/>
          <w:docGrid w:linePitch="0" w:charSpace="0"/>
        </w:sect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spacing w:before="5"/>
        <w:rPr>
          <w:rFonts w:ascii="Times New Roman"/>
          <w:sz w:val="18"/>
        </w:rPr>
      </w:pPr>
    </w:p>
    <w:p>
      <w:pPr>
        <w:pStyle w:val="3"/>
        <w:rPr>
          <w:rFonts w:ascii="Times New Roman"/>
          <w:sz w:val="20"/>
        </w:rPr>
      </w:pPr>
      <w:r>
        <w:rPr>
          <w:rFonts w:ascii="Times New Roman"/>
          <w:sz w:val="20"/>
          <w:lang w:val="en-US" w:bidi="ar-SA"/>
        </w:rPr>
        <w:drawing>
          <wp:inline distT="0" distB="0" distL="0" distR="0">
            <wp:extent cx="5711190" cy="5039360"/>
            <wp:effectExtent l="0" t="0" r="3810" b="889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1190" cy="503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/>
          <w:sz w:val="20"/>
        </w:rPr>
        <w:sectPr>
          <w:footerReference r:id="rId4" w:type="default"/>
          <w:pgSz w:w="11910" w:h="16840"/>
          <w:pgMar w:top="2041" w:right="1531" w:bottom="2041" w:left="1531" w:header="720" w:footer="1417" w:gutter="0"/>
          <w:pgNumType w:start="10"/>
          <w:cols w:space="0" w:num="1"/>
          <w:rtlGutter w:val="0"/>
          <w:docGrid w:linePitch="0" w:charSpace="0"/>
        </w:sectPr>
      </w:pPr>
    </w:p>
    <w:p>
      <w:pPr>
        <w:pStyle w:val="3"/>
        <w:rPr>
          <w:rFonts w:ascii="Times New Roman"/>
          <w:sz w:val="20"/>
        </w:rPr>
      </w:pPr>
      <w:r>
        <w:rPr>
          <w:rFonts w:ascii="Times New Roman"/>
          <w:sz w:val="20"/>
          <w:lang w:val="en-US" w:bidi="ar-SA"/>
        </w:rPr>
        <w:drawing>
          <wp:inline distT="0" distB="0" distL="0" distR="0">
            <wp:extent cx="5855335" cy="6608445"/>
            <wp:effectExtent l="0" t="0" r="12065" b="1905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5335" cy="660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/>
          <w:sz w:val="20"/>
        </w:rPr>
        <w:sectPr>
          <w:pgSz w:w="11910" w:h="16840"/>
          <w:pgMar w:top="2041" w:right="1531" w:bottom="2041" w:left="1531" w:header="720" w:footer="1417" w:gutter="0"/>
          <w:cols w:space="0" w:num="1"/>
          <w:rtlGutter w:val="0"/>
          <w:docGrid w:linePitch="0" w:charSpace="0"/>
        </w:sect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spacing w:before="3"/>
        <w:rPr>
          <w:rFonts w:ascii="Times New Roman"/>
          <w:sz w:val="10"/>
        </w:rPr>
      </w:pPr>
    </w:p>
    <w:p>
      <w:pPr>
        <w:pStyle w:val="3"/>
        <w:rPr>
          <w:rFonts w:ascii="Times New Roman"/>
          <w:sz w:val="20"/>
        </w:rPr>
      </w:pPr>
      <w:r>
        <w:rPr>
          <w:rFonts w:ascii="Times New Roman"/>
          <w:sz w:val="20"/>
          <w:lang w:val="en-US" w:bidi="ar-SA"/>
        </w:rPr>
        <w:drawing>
          <wp:inline distT="0" distB="0" distL="0" distR="0">
            <wp:extent cx="5565775" cy="517017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6105" cy="517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/>
          <w:sz w:val="20"/>
        </w:rPr>
        <w:sectPr>
          <w:pgSz w:w="11910" w:h="16840"/>
          <w:pgMar w:top="2041" w:right="1531" w:bottom="2041" w:left="1531" w:header="720" w:footer="1417" w:gutter="0"/>
          <w:cols w:space="0" w:num="1"/>
          <w:rtlGutter w:val="0"/>
          <w:docGrid w:linePitch="0" w:charSpace="0"/>
        </w:sectPr>
      </w:pPr>
    </w:p>
    <w:p>
      <w:pPr>
        <w:pStyle w:val="3"/>
        <w:spacing w:before="3"/>
        <w:rPr>
          <w:rFonts w:ascii="Times New Roman"/>
          <w:sz w:val="25"/>
        </w:rPr>
      </w:pPr>
    </w:p>
    <w:p>
      <w:pPr>
        <w:pStyle w:val="3"/>
        <w:rPr>
          <w:rFonts w:ascii="Times New Roman"/>
          <w:sz w:val="20"/>
        </w:rPr>
      </w:pPr>
      <w:r>
        <w:rPr>
          <w:rFonts w:ascii="Times New Roman"/>
          <w:sz w:val="20"/>
          <w:lang w:val="en-US" w:bidi="ar-SA"/>
        </w:rPr>
        <w:drawing>
          <wp:inline distT="0" distB="0" distL="0" distR="0">
            <wp:extent cx="6022975" cy="7548880"/>
            <wp:effectExtent l="0" t="0" r="15875" b="1397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2975" cy="754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/>
          <w:sz w:val="20"/>
        </w:rPr>
        <w:sectPr>
          <w:pgSz w:w="11910" w:h="16840"/>
          <w:pgMar w:top="2041" w:right="1531" w:bottom="2041" w:left="1531" w:header="720" w:footer="1417" w:gutter="0"/>
          <w:cols w:space="0" w:num="1"/>
          <w:rtlGutter w:val="0"/>
          <w:docGrid w:linePitch="0" w:charSpace="0"/>
        </w:sect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spacing w:before="10"/>
        <w:rPr>
          <w:rFonts w:ascii="Times New Roman"/>
          <w:sz w:val="13"/>
        </w:rPr>
      </w:pPr>
    </w:p>
    <w:p>
      <w:pPr>
        <w:pStyle w:val="3"/>
        <w:rPr>
          <w:rFonts w:ascii="Times New Roman"/>
          <w:sz w:val="20"/>
        </w:rPr>
      </w:pPr>
      <w:r>
        <w:rPr>
          <w:rFonts w:ascii="Times New Roman"/>
          <w:sz w:val="20"/>
          <w:lang w:val="en-US" w:bidi="ar-SA"/>
        </w:rPr>
        <w:drawing>
          <wp:inline distT="0" distB="0" distL="0" distR="0">
            <wp:extent cx="5996305" cy="6232525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6723" cy="6232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/>
          <w:sz w:val="20"/>
        </w:rPr>
        <w:sectPr>
          <w:pgSz w:w="11910" w:h="16840"/>
          <w:pgMar w:top="2041" w:right="1531" w:bottom="2041" w:left="1531" w:header="720" w:footer="1417" w:gutter="0"/>
          <w:cols w:space="0" w:num="1"/>
          <w:rtlGutter w:val="0"/>
          <w:docGrid w:linePitch="0" w:charSpace="0"/>
        </w:sect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spacing w:before="2"/>
        <w:rPr>
          <w:rFonts w:ascii="Times New Roman"/>
          <w:sz w:val="17"/>
        </w:rPr>
      </w:pPr>
    </w:p>
    <w:p>
      <w:pPr>
        <w:pStyle w:val="3"/>
        <w:rPr>
          <w:rFonts w:ascii="Times New Roman"/>
          <w:sz w:val="20"/>
        </w:rPr>
      </w:pPr>
      <w:r>
        <w:rPr>
          <w:rFonts w:ascii="Times New Roman"/>
          <w:sz w:val="20"/>
          <w:lang w:val="en-US" w:bidi="ar-SA"/>
        </w:rPr>
        <w:drawing>
          <wp:inline distT="0" distB="0" distL="0" distR="0">
            <wp:extent cx="6069330" cy="3798570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9465" cy="3798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spacing w:before="10"/>
        <w:rPr>
          <w:rFonts w:ascii="Times New Roman"/>
          <w:sz w:val="26"/>
        </w:rPr>
      </w:pPr>
      <w:r>
        <w:rPr>
          <w:lang w:val="en-US" w:bidi="ar-SA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1019175</wp:posOffset>
            </wp:positionH>
            <wp:positionV relativeFrom="paragraph">
              <wp:posOffset>220980</wp:posOffset>
            </wp:positionV>
            <wp:extent cx="5354320" cy="3159760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4468" cy="3160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2041" w:right="1531" w:bottom="2041" w:left="1531" w:header="720" w:footer="1417" w:gutter="0"/>
      <w:cols w:space="0" w:num="1"/>
      <w:rtlGutter w:val="0"/>
      <w:docGrid w:linePitch="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w:pict>
        <v:shape id="_x0000_s2049" o:spid="_x0000_s2049" o:spt="202" type="#_x0000_t202" style="position:absolute;left:0pt;margin-left:467pt;margin-top:764.2pt;height:16.05pt;width:37.15pt;mso-position-horizontal-relative:page;mso-position-vertical-relative:page;z-index:-2516551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line="321" w:lineRule="exact"/>
                  <w:ind w:left="20"/>
                  <w:rPr>
                    <w:rFonts w:ascii="仿宋_GB2312"/>
                    <w:sz w:val="28"/>
                  </w:rPr>
                </w:pPr>
                <w:r>
                  <w:rPr>
                    <w:rFonts w:ascii="仿宋_GB2312"/>
                    <w:sz w:val="28"/>
                  </w:rPr>
                  <w:t>-</w:t>
                </w:r>
                <w:r>
                  <w:fldChar w:fldCharType="begin"/>
                </w:r>
                <w:r>
                  <w:rPr>
                    <w:rFonts w:ascii="仿宋_GB2312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仿宋_GB2312"/>
                    <w:sz w:val="28"/>
                  </w:rPr>
                  <w:t>8</w:t>
                </w:r>
                <w:r>
                  <w:fldChar w:fldCharType="end"/>
                </w:r>
                <w:r>
                  <w:rPr>
                    <w:rFonts w:ascii="仿宋_GB2312"/>
                    <w:sz w:val="28"/>
                  </w:rPr>
                  <w:t>-</w:t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w:pict>
        <v:shape id="_x0000_s2050" o:spid="_x0000_s2050" o:spt="202" type="#_x0000_t202" style="position:absolute;left:0pt;margin-left:467pt;margin-top:764.2pt;height:16.05pt;width:44.1pt;mso-position-horizontal-relative:page;mso-position-vertical-relative:page;z-index:-25165414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line="321" w:lineRule="exact"/>
                  <w:ind w:left="20"/>
                  <w:rPr>
                    <w:rFonts w:ascii="仿宋_GB2312"/>
                    <w:sz w:val="28"/>
                  </w:rPr>
                </w:pPr>
                <w:r>
                  <w:rPr>
                    <w:rFonts w:ascii="仿宋_GB2312"/>
                    <w:sz w:val="28"/>
                  </w:rPr>
                  <w:t>-</w:t>
                </w:r>
                <w:r>
                  <w:fldChar w:fldCharType="begin"/>
                </w:r>
                <w:r>
                  <w:rPr>
                    <w:rFonts w:ascii="仿宋_GB2312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仿宋_GB2312"/>
                    <w:sz w:val="28"/>
                  </w:rPr>
                  <w:t>15</w:t>
                </w:r>
                <w:r>
                  <w:fldChar w:fldCharType="end"/>
                </w:r>
                <w:r>
                  <w:rPr>
                    <w:rFonts w:ascii="仿宋_GB2312"/>
                    <w:sz w:val="28"/>
                  </w:rPr>
                  <w:t>-</w:t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compat>
    <w:ulTrailSpace/>
    <w:shapeLayoutLikeWW8/>
    <w:useFELayout/>
    <w:compatSetting w:name="compatibilityMode" w:uri="http://schemas.microsoft.com/office/word" w:val="12"/>
  </w:compat>
  <w:rsids>
    <w:rsidRoot w:val="0091787F"/>
    <w:rsid w:val="000A037C"/>
    <w:rsid w:val="000F04BC"/>
    <w:rsid w:val="001B1C2F"/>
    <w:rsid w:val="00207943"/>
    <w:rsid w:val="00250F60"/>
    <w:rsid w:val="002D49A7"/>
    <w:rsid w:val="00372D61"/>
    <w:rsid w:val="00461D32"/>
    <w:rsid w:val="005C7129"/>
    <w:rsid w:val="006417E2"/>
    <w:rsid w:val="006E1B4F"/>
    <w:rsid w:val="007507D9"/>
    <w:rsid w:val="007C5E0E"/>
    <w:rsid w:val="007D0F1F"/>
    <w:rsid w:val="0091787F"/>
    <w:rsid w:val="00CC449F"/>
    <w:rsid w:val="00D52218"/>
    <w:rsid w:val="00DB6A21"/>
    <w:rsid w:val="24DF431D"/>
    <w:rsid w:val="400E4F46"/>
    <w:rsid w:val="4A3A54C8"/>
    <w:rsid w:val="4C315499"/>
    <w:rsid w:val="623C304D"/>
    <w:rsid w:val="65F214AA"/>
    <w:rsid w:val="7DC85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outlineLvl w:val="0"/>
    </w:pPr>
    <w:rPr>
      <w:b/>
      <w:bCs/>
      <w:sz w:val="32"/>
      <w:szCs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sz w:val="32"/>
      <w:szCs w:val="32"/>
    </w:rPr>
  </w:style>
  <w:style w:type="paragraph" w:styleId="4">
    <w:name w:val="Balloon Text"/>
    <w:basedOn w:val="1"/>
    <w:link w:val="14"/>
    <w:qFormat/>
    <w:uiPriority w:val="0"/>
    <w:rPr>
      <w:sz w:val="18"/>
      <w:szCs w:val="18"/>
    </w:rPr>
  </w:style>
  <w:style w:type="paragraph" w:styleId="5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6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1"/>
    <w:pPr>
      <w:ind w:left="1351" w:hanging="481"/>
    </w:pPr>
    <w:rPr>
      <w:rFonts w:ascii="仿宋_GB2312" w:hAnsi="仿宋_GB2312" w:eastAsia="仿宋_GB2312" w:cs="仿宋_GB2312"/>
    </w:rPr>
  </w:style>
  <w:style w:type="paragraph" w:customStyle="1" w:styleId="11">
    <w:name w:val="Table Paragraph"/>
    <w:basedOn w:val="1"/>
    <w:qFormat/>
    <w:uiPriority w:val="1"/>
  </w:style>
  <w:style w:type="character" w:customStyle="1" w:styleId="12">
    <w:name w:val="页眉 Char"/>
    <w:basedOn w:val="8"/>
    <w:link w:val="6"/>
    <w:qFormat/>
    <w:uiPriority w:val="0"/>
    <w:rPr>
      <w:rFonts w:ascii="宋体" w:hAnsi="宋体" w:eastAsia="宋体" w:cs="宋体"/>
      <w:sz w:val="18"/>
      <w:szCs w:val="18"/>
      <w:lang w:val="zh-CN" w:bidi="zh-CN"/>
    </w:rPr>
  </w:style>
  <w:style w:type="character" w:customStyle="1" w:styleId="13">
    <w:name w:val="页脚 Char"/>
    <w:basedOn w:val="8"/>
    <w:link w:val="5"/>
    <w:qFormat/>
    <w:uiPriority w:val="0"/>
    <w:rPr>
      <w:rFonts w:ascii="宋体" w:hAnsi="宋体" w:eastAsia="宋体" w:cs="宋体"/>
      <w:sz w:val="18"/>
      <w:szCs w:val="18"/>
      <w:lang w:val="zh-CN" w:bidi="zh-CN"/>
    </w:rPr>
  </w:style>
  <w:style w:type="character" w:customStyle="1" w:styleId="14">
    <w:name w:val="批注框文本 Char"/>
    <w:basedOn w:val="8"/>
    <w:link w:val="4"/>
    <w:qFormat/>
    <w:uiPriority w:val="0"/>
    <w:rPr>
      <w:rFonts w:ascii="宋体" w:hAnsi="宋体" w:eastAsia="宋体" w:cs="宋体"/>
      <w:sz w:val="18"/>
      <w:szCs w:val="18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17</Pages>
  <Words>3588</Words>
  <Characters>618</Characters>
  <Lines>5</Lines>
  <Paragraphs>8</Paragraphs>
  <TotalTime>56</TotalTime>
  <ScaleCrop>false</ScaleCrop>
  <LinksUpToDate>false</LinksUpToDate>
  <CharactersWithSpaces>4198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2021-05-20T14:07:00Z</dcterms:created>
  <dc:creator>admin</dc:creator>
  <cp:lastModifiedBy>发改委、</cp:lastModifiedBy>
  <dcterms:modified xsi:type="dcterms:W3CDTF">2021-06-16T08:52:47Z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2020-09-20T00:00:00Z</vt:filetime>
  </property>
  <property fmtid="{D5CDD505-2E9C-101B-9397-08002B2CF9AE}" pid="3" name="LastSaved">
    <vt:filetime>2021-05-20T00:00:00Z</vt:filetime>
  </property>
  <property fmtid="{D5CDD505-2E9C-101B-9397-08002B2CF9AE}" pid="4" name="KSOProductBuildVer">
    <vt:lpwstr>2052-11.1.0.10495</vt:lpwstr>
  </property>
  <property fmtid="{D5CDD505-2E9C-101B-9397-08002B2CF9AE}" pid="5" name="ICV">
    <vt:lpwstr>A7534B8A8E264F098B3FB696E7638DBA</vt:lpwstr>
  </property>
</Properties>
</file>